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B5" w:rsidRPr="008207B5" w:rsidRDefault="008207B5" w:rsidP="008207B5">
      <w:pPr>
        <w:widowControl/>
        <w:shd w:val="clear" w:color="auto" w:fill="FFFFFF"/>
        <w:spacing w:line="440" w:lineRule="exact"/>
        <w:ind w:leftChars="0" w:left="210"/>
        <w:jc w:val="center"/>
        <w:outlineLvl w:val="0"/>
        <w:rPr>
          <w:rFonts w:ascii="宋体" w:hAnsi="宋体" w:cs="宋体"/>
          <w:b/>
          <w:bCs/>
          <w:color w:val="464445"/>
          <w:kern w:val="36"/>
          <w:sz w:val="28"/>
          <w:szCs w:val="28"/>
        </w:rPr>
      </w:pPr>
      <w:r w:rsidRPr="008207B5">
        <w:rPr>
          <w:rFonts w:ascii="宋体" w:hAnsi="宋体" w:cs="宋体" w:hint="eastAsia"/>
          <w:b/>
          <w:bCs/>
          <w:color w:val="464445"/>
          <w:kern w:val="36"/>
          <w:sz w:val="28"/>
          <w:szCs w:val="28"/>
        </w:rPr>
        <w:t>中华人民共和国招标投标法实施条例</w:t>
      </w:r>
    </w:p>
    <w:p w:rsidR="005B0F19" w:rsidRPr="008207B5" w:rsidRDefault="008207B5" w:rsidP="00112C01">
      <w:pPr>
        <w:spacing w:line="440" w:lineRule="exact"/>
        <w:ind w:leftChars="0" w:left="210"/>
        <w:jc w:val="left"/>
        <w:rPr>
          <w:sz w:val="28"/>
          <w:szCs w:val="28"/>
        </w:rPr>
      </w:pPr>
      <w:hyperlink r:id="rId4" w:history="1">
        <w:r w:rsidRPr="008207B5">
          <w:rPr>
            <w:rFonts w:ascii="宋体" w:hAnsi="宋体" w:cs="宋体" w:hint="eastAsia"/>
            <w:color w:val="464445"/>
            <w:kern w:val="0"/>
            <w:sz w:val="28"/>
            <w:szCs w:val="28"/>
          </w:rPr>
          <w:t>国务院</w:t>
        </w:r>
      </w:hyperlink>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中华人民共和国国务院令</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第613号</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 xml:space="preserve">　　《中华人民共和国招标投标法实施条例》已经2011年11月30日国务院第183次常务会议通过，现予公布，自2012年2月1日起施行。</w:t>
      </w:r>
      <w:r w:rsidRPr="008207B5">
        <w:rPr>
          <w:rFonts w:ascii="宋体" w:hAnsi="宋体" w:cs="宋体" w:hint="eastAsia"/>
          <w:color w:val="464445"/>
          <w:kern w:val="0"/>
          <w:sz w:val="28"/>
          <w:szCs w:val="28"/>
        </w:rPr>
        <w:br/>
      </w:r>
      <w:r w:rsidR="00112C01">
        <w:rPr>
          <w:rFonts w:ascii="宋体" w:hAnsi="宋体" w:cs="宋体" w:hint="eastAsia"/>
          <w:color w:val="464445"/>
          <w:kern w:val="0"/>
          <w:sz w:val="28"/>
          <w:szCs w:val="28"/>
          <w:shd w:val="clear" w:color="auto" w:fill="FFFFFF"/>
        </w:rPr>
        <w:t xml:space="preserve">　　　　　　　　　　　　　　　　　　　　</w:t>
      </w:r>
      <w:r w:rsidRPr="008207B5">
        <w:rPr>
          <w:rFonts w:ascii="宋体" w:hAnsi="宋体" w:cs="宋体" w:hint="eastAsia"/>
          <w:color w:val="464445"/>
          <w:kern w:val="0"/>
          <w:sz w:val="28"/>
          <w:szCs w:val="28"/>
          <w:shd w:val="clear" w:color="auto" w:fill="FFFFFF"/>
        </w:rPr>
        <w:t xml:space="preserve">　总　理 　温家宝</w:t>
      </w:r>
      <w:r w:rsidRPr="008207B5">
        <w:rPr>
          <w:rFonts w:ascii="宋体" w:hAnsi="宋体" w:cs="宋体" w:hint="eastAsia"/>
          <w:color w:val="464445"/>
          <w:kern w:val="0"/>
          <w:sz w:val="28"/>
          <w:szCs w:val="28"/>
        </w:rPr>
        <w:br/>
      </w:r>
      <w:r w:rsidR="00112C01">
        <w:rPr>
          <w:rFonts w:ascii="宋体" w:hAnsi="宋体" w:cs="宋体" w:hint="eastAsia"/>
          <w:color w:val="464445"/>
          <w:kern w:val="0"/>
          <w:sz w:val="28"/>
          <w:szCs w:val="28"/>
          <w:shd w:val="clear" w:color="auto" w:fill="FFFFFF"/>
        </w:rPr>
        <w:t xml:space="preserve">　　　　　　　　　　　　　　　　　　　</w:t>
      </w:r>
      <w:r w:rsidRPr="008207B5">
        <w:rPr>
          <w:rFonts w:ascii="宋体" w:hAnsi="宋体" w:cs="宋体" w:hint="eastAsia"/>
          <w:color w:val="464445"/>
          <w:kern w:val="0"/>
          <w:sz w:val="28"/>
          <w:szCs w:val="28"/>
          <w:shd w:val="clear" w:color="auto" w:fill="FFFFFF"/>
        </w:rPr>
        <w:t>二○一一年十二月二十日</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中华人民共和国招标投标法实施条例</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第一章 总 则</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第一条 为了规范招标投标活动，根据《中华人民共和国招标投标法》（以下简称招标投标法），制定本条例。</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第二条 招标投标法第三条所称工程建设项目，是指工程以及与工程建设有关的货物、服务。</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第三条 依法必须进行招标的工程建设项目的具体范围和规模标准，由国务院发展改革部门会同国务院有关部门制订，报国务院批准后公布施行。</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第四条 国务院发展改革部门指导和协调全国招标投标工作，对国家重大建设项目的工程招标投标活动实施监督检查。国务院工业和信息化、住房城乡建设、交通运输、铁道、水利、商务等部门，按照规定的职责分工对有关招</w:t>
      </w:r>
      <w:r w:rsidRPr="008207B5">
        <w:rPr>
          <w:rFonts w:ascii="宋体" w:hAnsi="宋体" w:cs="宋体" w:hint="eastAsia"/>
          <w:color w:val="464445"/>
          <w:kern w:val="0"/>
          <w:sz w:val="28"/>
          <w:szCs w:val="28"/>
          <w:shd w:val="clear" w:color="auto" w:fill="FFFFFF"/>
        </w:rPr>
        <w:lastRenderedPageBreak/>
        <w:t>标投标活动实施监督。</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财政部门依法对实行招标投标的政府采购工程建设项目的预算执行情况和政府采购政策执行情况实施监督。</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监察机关依法对与招标投标活动有关的监察对象实施监察。</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第五条 设区的市级以上地方人民政府可以根据实际需要，建立统一规范的招标投标交易场所，为招标投标活动提供服务。招标投标交易场所不得与行政监督部门存在隶属关系，不得以营利为目的。</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国家鼓励利用信息网络进行电子招标投标。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第六条 禁止国家工作人员以任何方式非法干涉招标投标活动。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第二章 招 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第八条 国有资金占控股或者主导地位的依法必须进行招标的项目，应当公开招标；</w:t>
      </w:r>
      <w:r w:rsidRPr="00112C01">
        <w:rPr>
          <w:rFonts w:ascii="宋体" w:hAnsi="宋体" w:cs="宋体" w:hint="eastAsia"/>
          <w:color w:val="FF0000"/>
          <w:kern w:val="0"/>
          <w:sz w:val="28"/>
          <w:szCs w:val="28"/>
          <w:shd w:val="clear" w:color="auto" w:fill="FFFFFF"/>
        </w:rPr>
        <w:t>但有下列情形之一的，可以邀请招标：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（一）技术复杂、有特殊要求或者受自然环境限制，只有少量潜在投标人可供选择；</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（二）采用公开招标方式的费用占项目合同金额的比例过大。</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有前款第二项所列情形，属于本条例第七条规定的项目，由项目审批、核准部门在审批、核准项目时作出认定；其他项目由招标人申请有关行政监督部门作出认定。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第九条 除招标投标法第六十六条规定的可以不进行招标的特殊情况外，有下列情形之一的，可以不进行招标：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（一）需要采用不可替代的专利或者专有技术；</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（二）采购人依法能够自行建设、生产或者提供；</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（三）已通过招标方式选定的特许经营项目投资人依法能够自行建设、生产或者提供；</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（四）需要向原中标人采购工程、货物或者服务，否则将影响施工或者功能配套要求；</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（五）国家规定的其他特殊情形。</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招标人为适用前款规定弄虚作假的，属于招标投标法第四条规定的规避招标。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第十条 招标投标法第十二条第二款规定的招标人具有编制招标文件和组织评标能力，是指招标人具有与招标项目规模和复杂程度相适应的技术、经济等方面的专业人员。</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第十一条 招标代理机构的资格依照法律和国务院的规定由有关部门认定。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国务院住房城乡建设、商务、发展改革、工业和信息化等部门，按照规定的职责分工对招标代理机构依法实施监督管理。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第十二条 招标代理机构应当拥有一定数量的取得招标职业资格的专业人员。取得招标职业资格的具体办法由国务院人力资源社会保障部门会同国务院发展改革部门制定。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第十三条 招标代理机构在其资格许可和招标人委托的范围内开展招标代理业务，任何单位和个人不得非法干涉。</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招标代理机构代理招标业务，应当遵守招标投标法和本条例关于招标人的规定。招标代理机构不得在所代理的招标项目中投标或者代理投标，也不得为所代理的招标项目的投标人提供咨询。</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招标代理机构不得涂改、出租、出借、转让资格证书。</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第十四条 招标人应当与被委托的招标代理机构签订书面委托合同，合同约定的收费标准应当符合国家有关规定。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第十五条 公开招标的项目，应当依照招标投标法和本条例的规定发布招标公告、编制招标文件。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招标人采用资格预审办法对潜在投标人进行资格审查的，应当发布资格预审公告、编制资格预审文件。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w:t>
      </w:r>
      <w:r w:rsidRPr="008207B5">
        <w:rPr>
          <w:rFonts w:ascii="宋体" w:hAnsi="宋体" w:cs="宋体" w:hint="eastAsia"/>
          <w:color w:val="464445"/>
          <w:kern w:val="0"/>
          <w:sz w:val="28"/>
          <w:szCs w:val="28"/>
          <w:shd w:val="clear" w:color="auto" w:fill="FFFFFF"/>
        </w:rPr>
        <w:lastRenderedPageBreak/>
        <w:t>境内资格预审公告、招标公告，不得收取费用。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编制依法必须进行招标的项目的资格预审文件和招标文件，应当使用国务院发展改革部门会同有关行政监督部门制定的标准文本。</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第十六条 招标人应当按照资格预审公告、招标公告或者投标邀请书规定的时间、地点发售资格预审文件或者招标文件。资格预审文件或者招标文件的发售期不得少于5日。</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招标人发售资格预审文件、招标文件收取的费用应当限于补偿印刷、邮寄的成本支出，不得以营利为目的。</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第十七条 招标人应当合理确定提交资格预审申请文件的时间。依法必须进行招标的项目提交资格预审申请文件的时间，自资格预审文件停止发售之日起不得少于5日。</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第十八条 资格预审应当按照资格预审文件载明的标准和方法进行。</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第十九条 资格预审结束后，招标人应当及时向资格预审申请人发出资格预审结果通知书。未通过资格预审的申请人不具有投标资格。</w:t>
      </w:r>
      <w:r w:rsidRPr="008207B5">
        <w:rPr>
          <w:rFonts w:ascii="宋体" w:hAnsi="宋体" w:cs="宋体" w:hint="eastAsia"/>
          <w:color w:val="464445"/>
          <w:kern w:val="0"/>
          <w:sz w:val="28"/>
          <w:szCs w:val="28"/>
        </w:rPr>
        <w:br/>
      </w:r>
      <w:r w:rsidRPr="00112C01">
        <w:rPr>
          <w:rFonts w:ascii="宋体" w:hAnsi="宋体" w:cs="宋体" w:hint="eastAsia"/>
          <w:b/>
          <w:color w:val="FF0000"/>
          <w:kern w:val="0"/>
          <w:sz w:val="28"/>
          <w:szCs w:val="28"/>
          <w:shd w:val="clear" w:color="auto" w:fill="FFFFFF"/>
        </w:rPr>
        <w:t>通过资格预审的申请人少于3个的，应当重新招标。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第二十条 招标人采用资格后审办法对投标人进行资格审查的，应当在开标后由评标委员会按照招标文件规定的标准和方法对投标人的资格进行审查。</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第二十三条 招标人编制的资格预审文件、招标文件的内容违反法律、行政</w:t>
      </w:r>
      <w:r w:rsidRPr="008207B5">
        <w:rPr>
          <w:rFonts w:ascii="宋体" w:hAnsi="宋体" w:cs="宋体" w:hint="eastAsia"/>
          <w:color w:val="464445"/>
          <w:kern w:val="0"/>
          <w:sz w:val="28"/>
          <w:szCs w:val="28"/>
          <w:shd w:val="clear" w:color="auto" w:fill="FFFFFF"/>
        </w:rPr>
        <w:lastRenderedPageBreak/>
        <w:t>法规的强制性规定，违反公开、公平、公正和诚实信用原则，影响资格预审结果或者潜在投标人投标的，依法必须进行招标的项目的招标人应当在修改资格预审文件或者招标文件后重新招标。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第二十四条 招标人对招标项目划分标段的，应当遵守招标投标法的有关规定，不得利用划分标段限制或者排斥潜在投标人。依法必须进行招标的项目的招标人不得利用划分标段规避招标。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第二十五条 招标人应当在招标文件中载明投标有效期。投标有效期从提交投标文件的截止之日起算。</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第二十六条 招标人在招标文件中要求投标人提交投标保证金的，投标保证金不得超过招标项目估算价的2%。投标保证金有效期应当与投标有效期一致。</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依法必须进行招标的项目的境内投标单位，以现金或者支票形式提交的投标保证金应当从其基本账户转出。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招标人不得挪用投标保证金。</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第二十七条 招标人可以自行决定是否编制标底。一个招标项目只能有一个标底。标底必须保密。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接受委托编制标底的中介机构不得参加受托编制标底项目的投标，也不得为该项目的投标人编制投标文件或者提供咨询。</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招标人设有最高投标限价的，应当在招标文件中明确最高投标限价或者最高投标限价的计算方法。招标人不得规定最低投标限价。</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第二十八条 招标人不得组织单个或者部分潜在投标人踏勘项目现场。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前款所称暂估价，是指总承包招标时不能确定价格而由招标人在招标文件中暂时估定的工程、货物、服务的金额。</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第三十条 对技术复杂或者无法精确拟定技术规格的项目，招标人可以分两阶段进行招标。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第一阶段，投标人按照招标公告或者投标邀请书的要求提交不带报价的技术建议，招标人根据投标人提交的技术建议确定技术标准和要求，编制招标文件。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第二阶段，招标人向在第一阶段提交技术建议的投标人提供招标文件，投标人按照招标文件的要求提交包括最终技术方案和投标报价的投标文件。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招标人要求投标人提交投标保证金的，应当在第二阶段提出。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第三十二条 招标人不得以不合理的条件限制、排斥潜在投标人或者投标人。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招标人有下列行为之一的，属于以不合理条件限制、排斥潜在投标人或者投标人：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（一）就同一招标项目向潜在投标人或者投标人提供有差别的项目信息；</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（二）设定的资格、技术、商务条件与招标项目的具体特点和实际需要不相适应或者与合同履行无关；</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（三）依法必须进行招标的项目以特定行政区域或者特定行业的业绩、奖项作为加分条件或者中标条件；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（四）对潜在投标人或者投标人采取不同的资格审查或者评标标准；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（五）限定或者指定特定的专利、商标、品牌、原产地或者供应商；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（六）依法必须进行招标的项目非法限定潜在投标人或者投标人的所有制形式或者组织形式；</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（七）以其他不合理条件限制、排斥潜在投标人或者投标人。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第三章 投 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第三十三条 投标人参加依法必须进行招标的项目的投标，不受地区或者部门的限制，任何单位和个人不得非法干涉。</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第三十四条 与招标人存在利害关系可能影响招标公正性的法人、其他组织或者个人，不得参加投标。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单位负责人为同一人或者存在控股、管理关系的不同单位，不得参加同一标段投标或者未划分标段的同一招标项目投标。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违反前两款规定的，相关投标均无效。</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第三十五条 投标人撤回已提交的投标文件，应当在投标截止时间前书面通知招标人。招标人已收取投标保证金的，应当自收到投标人书面撤回通知之日起5日内退还。</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投标截止后投标人撤销投标文件的，招标人可以不退还投标保证金。</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第三十六条 未通过资格预审的申请人提交的投标文件，以及逾期送达或者不按照招标文件要求密封的投标文件，招标人应当拒收。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招标人应当如实记载投标文件的送达时间和密封情况，并存档备查。</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第三十七条 招标人应当在资格预审公告、招标公告或者投标邀请书中载明是否接受联合体投标。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招标人接受联合体投标并进行资格预审的，联合体应当在提交资格预审申请文件前组成。资格预审后联合体增减、更换成员的，其投标无效。</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联合体各方在同一招标项目中以自己名义单独投标或者参加其他联合体投标的，相关投标均无效。</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第三十八条 投标人发生合并、分立、破产等重大变化的，应当及时书面告知招标人。投标人不再具备资格预审文件、招标文件规定的资格条件或者其投标影响招标公正性的，其投标无效。</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第三十九条 禁止投标人相互串通投标。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有下列情形之一的，属于投标人相互串通投标：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（一）投标人之间协商投标报价等投标文件的实质性内容；</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（二）投标人之间约定中标人；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（三）投标人之间约定部分投标人放弃投标或者中标；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（四）属于同一集团、协会、商会等组织成员的投标人按照该组织要求协同投标；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（五）投标人之间为谋取中标或者排斥特定投标人而采取的其他联合行动。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第四十条 有下列情形之一的，视为投标人相互串通投标：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（一）不同投标人的投标文件由同一单位或者个人编制；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（二）不同投标人委托同一单位或者个人办理投标事宜；</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（三）不同投标人的投标文件载明的项目管理成员为同一人；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（四）不同投标人的投标文件异常一致或者投标报价呈规律性差异；</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（五）不同投标人的投标文件相互混装；</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（六）不同投标人的投标保证金从同一单位或者个人的账户转出。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第四十一条 禁止招标人与投标人串通投标。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有下列情形之一的，属于招标人与投标人串通投标：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（一）招标人在开标前开启投标文件并将有关信息泄露给其他投标人;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（二）招标人直接或者间接向投标人泄露标底、评标委员会成员等信息；</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（三）招标人明示或者暗示投标人压低或者抬高投标报价；</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（四）招标人授意投标人撤换、修改投标文件；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（五）招标人明示或者暗示投标人为特定投标人中标提供方便；</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（六）招标人与投标人为谋求特定投标人中标而采取的其他串通行为。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第四十二条 使用通过受让或者租借等方式获取的资格、资质证书投标的，属于招标投标法第三十三条规定的以他人名义投标。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投标人有下列情形之一的，属于招标投标法第三十三条规定的以其他方式弄虚作假的行为：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（一）使用伪造、变造的许可证件；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（二）提供虚假的财务状况或者业绩；</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（三）提供虚假的项目负责人或者主要技术人员简历、劳动关系证明；</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（四）提供虚假的信用状况；</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（五）其他弄虚作假的行为。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第四十三条 提交资格预审申请文件的申请人应当遵守招标投标法和本条例有关投标人的规定。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第四章 开标、评标和中标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第四十四条 招标人应当按照招标文件规定的时间、地点开标。</w:t>
      </w:r>
      <w:r w:rsidRPr="008207B5">
        <w:rPr>
          <w:rFonts w:ascii="宋体" w:hAnsi="宋体" w:cs="宋体" w:hint="eastAsia"/>
          <w:color w:val="464445"/>
          <w:kern w:val="0"/>
          <w:sz w:val="28"/>
          <w:szCs w:val="28"/>
        </w:rPr>
        <w:br/>
      </w:r>
      <w:r w:rsidRPr="00112C01">
        <w:rPr>
          <w:rFonts w:ascii="宋体" w:hAnsi="宋体" w:cs="宋体" w:hint="eastAsia"/>
          <w:color w:val="FF0000"/>
          <w:kern w:val="0"/>
          <w:sz w:val="28"/>
          <w:szCs w:val="28"/>
          <w:shd w:val="clear" w:color="auto" w:fill="FFFFFF"/>
        </w:rPr>
        <w:t>投标人少于3个的，不得开标；招标人应当重新招标。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投标人对开标有异议的，应当在开标现场提出，招标人应当当场作出答复，并制作记录。</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第四十五条 国家实行统一的评标专家专业分类标准和管理办法。具体标准和办法由国务院发展改革部门会同国务院有关部门制定。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省级人民政府和国务院有关部门应当组建综合评标专家库。</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第四十六条 除招标投标法第三十七条第三款规定的特殊招标项目外，依法必须进行招标的项目，其评标委员会的专家成员应当从评标专家库内相关专</w:t>
      </w:r>
      <w:r w:rsidRPr="008207B5">
        <w:rPr>
          <w:rFonts w:ascii="宋体" w:hAnsi="宋体" w:cs="宋体" w:hint="eastAsia"/>
          <w:color w:val="464445"/>
          <w:kern w:val="0"/>
          <w:sz w:val="28"/>
          <w:szCs w:val="28"/>
          <w:shd w:val="clear" w:color="auto" w:fill="FFFFFF"/>
        </w:rPr>
        <w:lastRenderedPageBreak/>
        <w:t>业的专家名单中以随机抽取方式确定。任何单位和个人不得以明示、暗示等任何方式指定或者变相指定参加评标委员会的专家成员。</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依法必须进行招标的项目的招标人非因招标投标法和本条例规定的事由，不得更换依法确定的评标委员会成员。更换评标委员会的专家成员应当依照前款规定进行。</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评标委员会成员与投标人有利害关系的，应当主动回避。</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有关行政监督部门应当按照规定的职责分工，对评标委员会成员的确定方式、评标专家的抽取和评标活动进行监督。行政监督部门的工作人员不得担任本部门负责监督项目的评标委员会成员。</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第四十七条 招标投标法第三十七条第三款所称特殊招标项目，是指技术复杂、专业性强或者国家有特殊要求，采取随机抽取方式确定的专家难以保证胜任评标工作的项目。</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第四十八条 招标人应当向评标委员会提供评标所必需的信息，但不得明示或者暗示其倾向或者排斥特定投标人。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招标人应当根据项目规模和技术复杂程度等因素合理确定评标时间。超过三分之一的评标委员会成员认为评标时间不够的，招标人应当适当延长。</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评标过程中，评标委员会成员有回避事由、擅离职守或者因健康等原因不能继续评标的，应当及时更换。被更换的评标委员会成员作出的评审结论无效，由更换后的评标委员会成员重新进行评审。</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第四十九条 评标委员会成员应当依照招标投标法和本条例的规定，按照招标文件规定的评标标准和方法，客观、公正地对投标文件提出评审意见。招标文件没有规定的评标标准和方法不得作为评标的依据。</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第五十条 招标项目设有标底的，招标人应当在开标时公布。标底只能作为评标的参考，不得以投标报价是否接近标底作为中标条件，也不得以投标报价超过标底上下浮动范围作为否决投标的条件。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第五十一条 有下列情形之一的，评标委员会应当否决其投标：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（一）投标文件未经投标单位盖章和单位负责人签字；</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（二）投标联合体没有提交共同投标协议；</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（三）投标人不符合国家或者招标文件规定的资格条件；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（四）同一投标人提交两个以上不同的投标文件或者投标报价，但招标文件要求提交备选投标的除外；</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（五）投标报价低于成本或者高于招标文件设定的最高投标限价；</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（六）投标文件没有对招标文件的实质性要求和条件作出响应；</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（七）投标人有串通投标、弄虚作假、行贿等违法行为。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评标委员会不得暗示或者诱导投标人作出澄清、说明，不得接受投标人主动提出的澄清、说明。</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第五十三条 评标完成后，评标委员会应当向招标人提交书面评标报告和中标候选人名单。中标候选人应当不超过3个，并标明排序。</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第五十四条 依法必须进行招标的项目，招标人应当自收到评标报告之日起3日内公示中标候选人，公示期不得少于3日。</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投标人或者其他利害关系人对依法必须进行招标的项目的评标结果有异议的，应当在中标候选人公示期间提出。招标人应当自收到异议之日起3日内作出答复；作出答复前，应当暂停招标投标活动。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第五十六条 中标候选人的经营、财务状况发生较大变化或者存在违法行为，</w:t>
      </w:r>
      <w:r w:rsidRPr="008207B5">
        <w:rPr>
          <w:rFonts w:ascii="宋体" w:hAnsi="宋体" w:cs="宋体" w:hint="eastAsia"/>
          <w:color w:val="464445"/>
          <w:kern w:val="0"/>
          <w:sz w:val="28"/>
          <w:szCs w:val="28"/>
          <w:shd w:val="clear" w:color="auto" w:fill="FFFFFF"/>
        </w:rPr>
        <w:lastRenderedPageBreak/>
        <w:t>招标人认为可能影响其履约能力的，应当在发出中标通知书前由原评标委员会按照招标文件规定的标准和方法审查确认。</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招标人最迟应当在书面合同签订后5日内向中标人和未中标的投标人退还投标保证金及银行同期存款利息。</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第五十八条 招标文件要求中标人提交履约保证金的，中标人应当按照招标文件的要求提交。履约保证金不得超过中标合同金额的10%。</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第五十九条 中标人应当按照合同约定履行义务，完成中标项目。中标人不得向他人转让中标项目，也不得将中标项目肢解后分别向他人转让。</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中标人按照合同约定或者经招标人同意，可以将中标项目的部分非主体、非关键性工作分包给他人完成。接受分包的人应当具备相应的资格条件，并不得再次分包。</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中标人应当就分包项目向招标人负责，接受分包的人就分包项目承担连带责任。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第五章 投诉与处理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第六十条 投标人或者其他利害关系人认为招标投标活动不符合法律、行政法规规定的，可以自知道或者应当知道之日起10日内向有关行政监督部门投诉。投诉应当有明确的请求和必要的证明材料。</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就本条例第二十二条、第四十四条、第五十四条规定事项投诉的，应当先向招标人提出异议，异议答复期间不计算在前款规定的期限内。</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第六十一条 投诉人就同一事项向两个以上有权受理的行政监督部门投诉的，由最先收到投诉的行政监督部门负责处理。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行政监督部门应当自收到投诉之日起3个工作日内决定是否受理投诉，并自受理投诉之日起30个工作日内作出书面处理决定；需要检验、检测、鉴定、专家评审的，所需时间不计算在内。</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投诉人捏造事实、伪造材料或者以非法手段取得证明材料进行投诉的，行政</w:t>
      </w:r>
      <w:r w:rsidRPr="008207B5">
        <w:rPr>
          <w:rFonts w:ascii="宋体" w:hAnsi="宋体" w:cs="宋体" w:hint="eastAsia"/>
          <w:color w:val="464445"/>
          <w:kern w:val="0"/>
          <w:sz w:val="28"/>
          <w:szCs w:val="28"/>
          <w:shd w:val="clear" w:color="auto" w:fill="FFFFFF"/>
        </w:rPr>
        <w:lastRenderedPageBreak/>
        <w:t>监督部门应当予以驳回。</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第六十二条 行政监督部门处理投诉，有权查阅、复制有关文件、资料，调查有关情况，相关单位和人员应当予以配合。必要时，行政监督部门可以责令暂停招标投标活动。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行政监督部门的工作人员对监督检查过程中知悉的国家秘密、商业秘密，应当依法予以保密。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第六章 法律责任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第六十三条 招标人有下列限制或者排斥潜在投标人行为之一的，由有关行政监督部门依照招标投标法第五十一条的规定处罚：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（一）依法应当公开招标的项目不按照规定在指定媒介发布资格预审公告或者招标公告；</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（二）在不同媒介发布的同一招标项目的资格预审公告或者招标公告的内容不一致，影响潜在投标人申请资格预审或者投标。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依法必须进行招标的项目的招标人不按照规定发布资格预审公告或者招标公告，构成规避招标的，依照招标投标法第四十九条的规定处罚。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第六十四条 招标人有下列情形之一的，由有关行政监督部门责令改正，可以处10万元以下的罚款：</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（一）依法应当公开招标而采用邀请招标；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（二）招标文件、资格预审文件的发售、澄清、修改的时限，或者确定的提交资格预审申请文件、投标文件的时限不符合招标投标法和本条例规定；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（三）接受未通过资格预审的单位或者个人参加投标；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（四）接受应当拒收的投标文件。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招标人有前款第一项、第三项、第四项所列行为之一的，对单位直接负责的主管人员和其他直接责任人员依法给予处分。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第六十六条 招标人超过本条例规定的比例收取投标保证金、履约保证金或</w:t>
      </w:r>
      <w:r w:rsidRPr="008207B5">
        <w:rPr>
          <w:rFonts w:ascii="宋体" w:hAnsi="宋体" w:cs="宋体" w:hint="eastAsia"/>
          <w:color w:val="464445"/>
          <w:kern w:val="0"/>
          <w:sz w:val="28"/>
          <w:szCs w:val="28"/>
          <w:shd w:val="clear" w:color="auto" w:fill="FFFFFF"/>
        </w:rPr>
        <w:lastRenderedPageBreak/>
        <w:t>者不按照规定退还投标保证金及银行同期存款利息的，由有关行政监督部门责令改正，可以处5万元以下的罚款；给他人造成损失的，依法承担赔偿责任。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投标人有下列行为之一的，属于招标投标法第五十三条规定的情节严重行为，由有关行政监督部门取消其1年至2年内参加依法必须进行招标的项目的投标资格：</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（一）以行贿谋取中标；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（二）3年内2次以上串通投标；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（三）串通投标行为损害招标人、其他投标人或者国家、集体、公民的合法利益，造成直接经济损失30万元以上；</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（四）其他串通投标情节严重的行为。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投标人自本条第二款规定的处罚执行期限届满之日起3年内又有该款所列违法行为之一的，或者串通投标、以行贿谋取中标情节特别严重的，由工商行政管理机关吊销营业执照。</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法律、行政法规对串通投标报价行为的处罚另有规定的，从其规定。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投标人有下列行为之一的，属于招标投标法第五十四条规定的情节严重行为，由有关行政监督部门取消其1年至3年内参加依法必须进行招标的项目的投标资格：</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（一）伪造、变造资格、资质证书或者其他许可证件骗取中标；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（二）3年内2次以上使用他人名义投标；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（三）弄虚作假骗取中标给招标人造成直接经济损失30万元以上；</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（四）其他弄虚作假骗取中标情节严重的行为。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投标人自本条第二款规定的处罚执行期限届满之日起3年内又有该款所列违法行为之一的，或者弄虚作假骗取中标情节特别严重的，由工商行政管理机关吊销营业执照。</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第六十九条 出让或者出租资格、资质证书供他人投标的，依照法律、行政法规的规定给予行政处罚；构成犯罪的，依法追究刑事责任。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国家工作人员以任何方式非法干涉选取评标委员会成员的，依照本条例第八十一条的规定追究法律责任。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第七十一条 评标委员会成员有下列行为之一的，由有关行政监督部门责令改正；情节严重的，禁止其在一定期限内参加依法必须进行招标的项目的评标；情节特别严重的，取消其担任评标委员会成员的资格：</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（一）应当回避而不回避；</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（二）擅离职守；</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（三）不按照招标文件规定的评标标准和方法评标；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（四）私下接触投标人；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（五）向招标人征询确定中标人的意向或者接受任何单位或者个人明示或者暗示提出的倾向或者排斥特定投标人的要求；</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（六）对依法应当否决的投标不提出否决意见；</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（七）暗示或者诱导投标人作出澄清、说明或者接受投标人主动提出的澄清、说明；</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（八）其他不客观、不公正履行职务的行为。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第七十三条 依法必须进行招标的项目的招标人有下列情形之一的，由有关行政监督部门责令改正，可以处中标项目金额10‰以下的罚款；给他人造成</w:t>
      </w:r>
      <w:r w:rsidRPr="008207B5">
        <w:rPr>
          <w:rFonts w:ascii="宋体" w:hAnsi="宋体" w:cs="宋体" w:hint="eastAsia"/>
          <w:color w:val="464445"/>
          <w:kern w:val="0"/>
          <w:sz w:val="28"/>
          <w:szCs w:val="28"/>
          <w:shd w:val="clear" w:color="auto" w:fill="FFFFFF"/>
        </w:rPr>
        <w:lastRenderedPageBreak/>
        <w:t>损失的，依法承担赔偿责任；对单位直接负责的主管人员和其他直接责任人员依法给予处分：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（一）无正当理由不发出中标通知书；</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（二）不按照规定确定中标人；</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（三）中标通知书发出后无正当理由改变中标结果；</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（四）无正当理由不与中标人订立合同；</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（五）在订立合同时向中标人提出附加条件。</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第七十七条 投标人或者其他利害关系人捏造事实、伪造材料或者以非法手段取得证明材料进行投诉，给他人造成损失的，依法承担赔偿责任。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招标人不按照规定对异议作出答复，继续进行招标投标活动的，由有关行政监督部门责令改正，拒不改正或者不能改正并影响中标结果的，依照本条例第八十二条的规定处理。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第七十八条 取得招标职业资格的专业人员违反国家有关规定办理招标业务的，责令改正，给予警告；情节严重的，暂停一定期限内从事招标业务；情节特别严重的，取消招标职业资格。</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第七十九条 国家建立招标投标信用制度。有关行政监督部门应当依法公告对招标人、招标代理机构、投标人、评标委员会成员等当事人违法行为的行政处理决定。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lastRenderedPageBreak/>
        <w:t>第八十条项 目审批、核准部门不依法审批、核准项目招标范围、招标方式、招标组织形式的，对单位直接负责的主管人员和其他直接责任人员依法给予处分。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项目审批、核准部门和有关行政监督部门的工作人员徇私舞弊、滥用职权、玩忽职守，构成犯罪的，依法追究刑事责任。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第八十一条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（一）要求对依法必须进行招标的项目不招标，或者要求对依法应当公开招标的项目不公开招标；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（二）要求评标委员会成员或者招标人以其指定的投标人作为中标候选人或者中标人，或者以其他方式非法干涉评标活动，影响中标结果；</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（三）以其他方式非法干涉招标投标活动。</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第八十二条 依法必须进行招标的项目的招标投标活动违反招标投标法和本条例的规定，对中标结果造成实质性影响，且不能采取补救措施予以纠正的，招标、投标、中标无效，应当依法重新招标或者评标。</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第七章 附 则</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第八十三条 招标投标协会按照依法制定的章程开展活动，加强行业自律和服务。</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第八十四条 政府采购的法律、行政法规对政府采购货物、服务的招标投标另有规定的，从其规定。</w:t>
      </w:r>
      <w:r w:rsidRPr="008207B5">
        <w:rPr>
          <w:rFonts w:ascii="宋体" w:hAnsi="宋体" w:cs="宋体" w:hint="eastAsia"/>
          <w:color w:val="464445"/>
          <w:kern w:val="0"/>
          <w:sz w:val="28"/>
          <w:szCs w:val="28"/>
        </w:rPr>
        <w:br/>
      </w:r>
      <w:r w:rsidRPr="008207B5">
        <w:rPr>
          <w:rFonts w:ascii="宋体" w:hAnsi="宋体" w:cs="宋体" w:hint="eastAsia"/>
          <w:color w:val="464445"/>
          <w:kern w:val="0"/>
          <w:sz w:val="28"/>
          <w:szCs w:val="28"/>
          <w:shd w:val="clear" w:color="auto" w:fill="FFFFFF"/>
        </w:rPr>
        <w:t>第八十五条 本条例自2012年2月1日起施行。</w:t>
      </w:r>
    </w:p>
    <w:sectPr w:rsidR="005B0F19" w:rsidRPr="008207B5" w:rsidSect="00491A65">
      <w:pgSz w:w="11906" w:h="16838"/>
      <w:pgMar w:top="1440" w:right="1247"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7B5"/>
    <w:rsid w:val="00112C01"/>
    <w:rsid w:val="00284094"/>
    <w:rsid w:val="002B22AC"/>
    <w:rsid w:val="00491A65"/>
    <w:rsid w:val="005B0F19"/>
    <w:rsid w:val="007A6D24"/>
    <w:rsid w:val="008207B5"/>
    <w:rsid w:val="00C554C1"/>
    <w:rsid w:val="00C93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leftChars="100" w:left="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1"/>
    <w:pPr>
      <w:widowControl w:val="0"/>
      <w:jc w:val="both"/>
    </w:pPr>
    <w:rPr>
      <w:kern w:val="2"/>
      <w:sz w:val="21"/>
      <w:szCs w:val="24"/>
    </w:rPr>
  </w:style>
  <w:style w:type="paragraph" w:styleId="1">
    <w:name w:val="heading 1"/>
    <w:basedOn w:val="a"/>
    <w:link w:val="1Char"/>
    <w:uiPriority w:val="9"/>
    <w:qFormat/>
    <w:rsid w:val="008207B5"/>
    <w:pPr>
      <w:widowControl/>
      <w:spacing w:before="100" w:beforeAutospacing="1" w:after="100" w:afterAutospacing="1"/>
      <w:ind w:leftChars="0" w:left="0"/>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07B5"/>
    <w:rPr>
      <w:rFonts w:ascii="宋体" w:hAnsi="宋体" w:cs="宋体"/>
      <w:b/>
      <w:bCs/>
      <w:kern w:val="36"/>
      <w:sz w:val="48"/>
      <w:szCs w:val="48"/>
    </w:rPr>
  </w:style>
  <w:style w:type="character" w:styleId="a3">
    <w:name w:val="Hyperlink"/>
    <w:basedOn w:val="a0"/>
    <w:uiPriority w:val="99"/>
    <w:semiHidden/>
    <w:unhideWhenUsed/>
    <w:rsid w:val="008207B5"/>
    <w:rPr>
      <w:color w:val="0000FF"/>
      <w:u w:val="single"/>
    </w:rPr>
  </w:style>
</w:styles>
</file>

<file path=word/webSettings.xml><?xml version="1.0" encoding="utf-8"?>
<w:webSettings xmlns:r="http://schemas.openxmlformats.org/officeDocument/2006/relationships" xmlns:w="http://schemas.openxmlformats.org/wordprocessingml/2006/main">
  <w:divs>
    <w:div w:id="1649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B9%FA%CE%F1%D4%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1869</Words>
  <Characters>10656</Characters>
  <Application>Microsoft Office Word</Application>
  <DocSecurity>0</DocSecurity>
  <Lines>88</Lines>
  <Paragraphs>24</Paragraphs>
  <ScaleCrop>false</ScaleCrop>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2016-10-02T01:29:00Z</dcterms:created>
  <dcterms:modified xsi:type="dcterms:W3CDTF">2016-10-02T01:41:00Z</dcterms:modified>
</cp:coreProperties>
</file>