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numPr>
          <w:numId w:val="0"/>
        </w:numPr>
        <w:kinsoku/>
        <w:overflowPunct/>
        <w:topLinePunct w:val="0"/>
        <w:bidi w:val="0"/>
        <w:spacing w:before="140" w:after="140"/>
        <w:ind w:leftChars="200"/>
        <w:jc w:val="center"/>
        <w:rPr>
          <w:rFonts w:cs="宋体"/>
          <w:color w:val="auto"/>
          <w:sz w:val="30"/>
          <w:szCs w:val="30"/>
        </w:rPr>
      </w:pPr>
      <w:r>
        <w:rPr>
          <w:rFonts w:hint="eastAsia" w:ascii="Times New Roman" w:hAnsi="Times New Roman"/>
          <w:bCs/>
          <w:color w:val="auto"/>
          <w:kern w:val="2"/>
          <w:sz w:val="28"/>
          <w:szCs w:val="24"/>
          <w:lang w:eastAsia="zh-CN"/>
        </w:rPr>
        <w:t>康丰渔业活鱼运输船采购项目</w:t>
      </w:r>
      <w:r>
        <w:rPr>
          <w:rFonts w:hint="eastAsia" w:ascii="Times New Roman" w:hAnsi="Times New Roman"/>
          <w:bCs/>
          <w:color w:val="auto"/>
          <w:kern w:val="2"/>
          <w:sz w:val="28"/>
          <w:szCs w:val="24"/>
          <w:lang w:val="en-US" w:eastAsia="zh-CN"/>
        </w:rPr>
        <w:t>-</w:t>
      </w:r>
      <w:r>
        <w:rPr>
          <w:rFonts w:hint="eastAsia" w:ascii="Times New Roman" w:hAnsi="Times New Roman"/>
          <w:bCs/>
          <w:color w:val="auto"/>
          <w:kern w:val="2"/>
          <w:sz w:val="28"/>
          <w:szCs w:val="24"/>
        </w:rPr>
        <w:t>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82" w:firstLineChars="200"/>
        <w:textAlignment w:val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一、采购内容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安徽康丰生态渔业发展有限公司</w:t>
      </w: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两艘活鱼运输船采购，每艘船长约15.5米，形宽3.2米，主机功率36匹，包括船体建造、轮机设备、电气设备、上层建筑舱棚及油漆救生消防设备。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83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采购内容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活鱼运输船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二、详细技术参数及规格要求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 xml:space="preserve"> 本船为单底、单甲板、单机、单桨的横骨架式结构钢质机动活鱼运输船，主要用于佛子岭水库、磨子潭水库航区载运活鱼等渔获物。</w:t>
      </w: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一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概述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本船按中华人民共和国海事局《内河小型船舶检验技术规则》（2016）的要求设计。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船型及用途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本船为单底、单甲板、单机、单桨的横骨架式结构钢质机动活鱼运输船，主要用于佛子岭水库、磨子潭水库航区载运活鱼等渔获物。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船舶主要尺度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  大 船 长： 15.50m              总       长：15.5 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总        宽： 3.20 m               型       宽：  3.10 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型        深： 1.10m               设 计 吃 水：  0.45 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船        员： 4至6 人            肋        距： 0.50 m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C级航区 吃水/排水量/载货量：       0.45 m /  8.50 t  / 3 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全船最大高度：  1.20 m              航       区：  内河C级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活鱼舱容积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活鱼舱舱口长度：4.00 m                货舱舱口宽度：2.60 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二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总布置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本船主甲板以下共设四道水密横舱壁，将主船体分为：尾—#0为尾尖舱，#0—#5为机舱， #5—#13为活鱼舱，#13—#16为空舱， #16—首为首尖舱。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本船主甲板以上依次为：尾—#0为尾甲板，设有舵柄、垃圾箱、舱口盖等设备；#0—#5为机舱棚， #5—#13为活鱼舱口， #13—首为首甲板，设有人孔盖、系泊带缆桩、锚等设备。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船体结构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本船船体为单底、单甲板、横骨架式全电焊钢质结构，主船体内、外结构采用CCS船板，主船体材质强度满足中华人民共和国海事局《内河小型船舶检验技术规则》（2016）对C级航区船舶的有关要求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四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稳性及干舷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本船干舷满足中华人民共和国海事局《内河小型船舶检验技术规则》（2016）的有关规定。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本船稳性满足中华人民共和国海事局《内河船舶法定检验技术规则》（2019）的有关规定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五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舵设备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本船舵叶面积A=0.3㎡,舵面积系数：4.35%。舵轴直径φ50mm ，材料为＃25钢。平板舵舵板厚度t=5.0㎜，舵板设加强肋一道。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六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锚泊系泊设备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本船舾装数为11，按中华人民共和国海事局《内河小型船舶检验技术规则》（2016）规定,本船实际配备15kg首锚一只。配最小破断力不小于34KN的锚索一根,总长20米。配最小破断力不小于34KN的系船索二根,每根长20米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本船首、尾甲板左右两舷各设(C100 GB554—1996)带缆桩二座。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七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主机、齿轮箱、航速、续航力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主机柴油机（知名品牌）、功率11.03KW、转速2200r/min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齿轮箱16A型（知名品牌）、减速比3：1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航速8-15Km/h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续航力12小时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八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消防设备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本船配有5KG手提式干粉灭火器2具、9L手提式泡沫灭火器2具，带绳消防水桶2只。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九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救生设备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本船配备船用救生圈6只。配备船用救生衣6件。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无线电通信设备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本船配备对外扩音装置1套，航行安全信息接收装置（收音机）1套。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十一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航行设备无线电通信设备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本船配测深锤1只，测深杆2根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十二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信号设备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本船配信号灯有：白光环照灯1盏。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本船配号型和号旗有：黑色球体号型1只，手电筒1只，红旗1面，白旗1面，5号国旗1面。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本船配声响信号有：小型号笛1只。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十三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避雷针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本船采用直径16mm，长500mm的钢质避雷针一只，焊接在船舶顶棚可倒桅杆顶上，可倒桅杆与船体应有可靠的电气连接，其连接软铜线的截面积应大于等于70mm2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十四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本船主甲板两侧设有φ32mm镀锌钢管栏杆，高度600mm，其中最低一档以下的开口高度为230mm。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2" w:firstLineChars="200"/>
        <w:textAlignment w:val="auto"/>
        <w:rPr>
          <w:rFonts w:hint="eastAsia" w:ascii="Times New Roman" w:hAnsi="Times New Roman" w:eastAsia="宋体" w:cs="宋体"/>
          <w:b/>
          <w:bCs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三、其它要求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1、项目实施时间：合同签订后40日历天。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2、交货地：业主指定地点。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3、质保期：活鱼运输船一年质保期，从验收合格交付使用之日起。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▲4、安全生产措施严密，施工期间如果发生安全生产事故，一切责任由中标单位自行负责。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5、配备的柴油机主机出厂需符合相关规定和技术要求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6、两艘船需带增氧装置。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default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7、两艘船启动方式为电启动。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default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注：“▲”为实质性条款，不响应作无效标处理。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2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四、售后保证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1、中标人应提供产品售后服务承诺，质保期内非采购人人为因素造成的质量问题，中标人须在接到采购人通知后按国家有关规定和要求（如无国家规定和要求的，按承诺和厂方“三包”规定）立即派人进行免费维修、免费更换有缺陷的零部件。因船只本身问题在48小时之内仍不能排除的故障，中标人应提供与原船只相同或不低于原船只性能的备用船只。故障排除后中标人应出具书面故障诊断报告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2、出现故障后，中标人如未按上述要求进行响应，采购人可采取必要的补救措施，由此产生的风险和费用将由中标人承担。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left="0" w:leftChars="0" w:firstLine="420" w:firstLineChars="200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zh-CN" w:eastAsia="zh-CN" w:bidi="ar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3、中标人应提供船只的维修保养手册及使用说明书。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40" w:firstLineChars="200"/>
        <w:jc w:val="right"/>
        <w:textAlignment w:val="auto"/>
        <w:rPr>
          <w:rFonts w:hint="eastAsia" w:ascii="宋体" w:hAnsi="宋体" w:cs="宋体"/>
          <w:color w:val="333333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333333"/>
          <w:sz w:val="22"/>
          <w:szCs w:val="22"/>
          <w:shd w:val="clear" w:color="auto" w:fill="FFFFFF"/>
          <w:lang w:val="en-US" w:eastAsia="zh-CN" w:bidi="ar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200"/>
        <w:jc w:val="right"/>
        <w:textAlignment w:val="auto"/>
        <w:rPr>
          <w:rFonts w:hint="eastAsia" w:ascii="宋体" w:hAnsi="宋体" w:cs="宋体"/>
          <w:color w:val="333333"/>
          <w:sz w:val="22"/>
          <w:szCs w:val="22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sz w:val="22"/>
          <w:szCs w:val="22"/>
          <w:shd w:val="clear" w:color="auto" w:fill="FFFFFF"/>
          <w:lang w:eastAsia="zh-CN" w:bidi="ar"/>
        </w:rPr>
        <w:t>安徽康丰生态渔业发展有限公司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200"/>
        <w:jc w:val="right"/>
        <w:textAlignment w:val="auto"/>
        <w:rPr>
          <w:rFonts w:hint="default" w:ascii="宋体" w:hAnsi="宋体" w:cs="宋体"/>
          <w:color w:val="333333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333333"/>
          <w:sz w:val="22"/>
          <w:szCs w:val="22"/>
          <w:highlight w:val="none"/>
          <w:shd w:val="clear" w:color="auto" w:fill="FFFFFF"/>
          <w:lang w:val="en-US" w:eastAsia="zh-CN" w:bidi="ar"/>
        </w:rPr>
        <w:t xml:space="preserve">安徽衡宇工程咨询有限公司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200"/>
        <w:jc w:val="right"/>
        <w:textAlignment w:val="auto"/>
        <w:rPr>
          <w:rFonts w:hint="default" w:ascii="宋体" w:hAnsi="宋体" w:cs="宋体"/>
          <w:color w:val="333333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333333"/>
          <w:sz w:val="22"/>
          <w:szCs w:val="22"/>
          <w:highlight w:val="none"/>
          <w:shd w:val="clear" w:color="auto" w:fill="FFFFFF"/>
          <w:lang w:val="en-US" w:eastAsia="zh-CN" w:bidi="ar"/>
        </w:rPr>
        <w:t>2022年6月20日</w:t>
      </w:r>
      <w:bookmarkStart w:id="0" w:name="_GoBack"/>
      <w:bookmarkEnd w:id="0"/>
    </w:p>
    <w:p>
      <w:pPr>
        <w:pageBreakBefore w:val="0"/>
        <w:kinsoku/>
        <w:overflowPunct/>
        <w:topLinePunct w:val="0"/>
        <w:bidi w:val="0"/>
        <w:spacing w:line="240" w:lineRule="auto"/>
        <w:ind w:left="0" w:leftChars="0" w:firstLine="420" w:firstLineChars="200"/>
        <w:rPr>
          <w:rFonts w:ascii="宋体" w:hAnsi="宋体" w:cs="宋体"/>
          <w:szCs w:val="24"/>
        </w:rPr>
      </w:pPr>
    </w:p>
    <w:p>
      <w:pPr>
        <w:pStyle w:val="6"/>
        <w:spacing w:before="0" w:after="0" w:line="500" w:lineRule="exact"/>
        <w:ind w:left="0" w:leftChars="0" w:firstLine="0" w:firstLineChars="0"/>
        <w:jc w:val="both"/>
        <w:outlineLvl w:val="9"/>
        <w:rPr>
          <w:rFonts w:hint="eastAsia" w:ascii="宋体" w:hAnsi="宋体" w:eastAsia="宋体" w:cs="宋体"/>
          <w:caps/>
          <w:color w:val="000000"/>
          <w:kern w:val="2"/>
          <w:sz w:val="28"/>
          <w:szCs w:val="28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jAxMzY3YmIwNmVmN2M5ZWUxZjUzMzY5OGE4MjEifQ=="/>
  </w:docVars>
  <w:rsids>
    <w:rsidRoot w:val="5B896D6D"/>
    <w:rsid w:val="5B8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rFonts w:ascii="Calibri" w:hAnsi="Calibri"/>
      <w:sz w:val="16"/>
      <w:szCs w:val="16"/>
      <w:lang w:val="zh-CN"/>
    </w:rPr>
  </w:style>
  <w:style w:type="paragraph" w:customStyle="1" w:styleId="6">
    <w:name w:val="样式 标题 2 + 宋体 五号 行距: 单倍行距"/>
    <w:basedOn w:val="3"/>
    <w:qFormat/>
    <w:uiPriority w:val="99"/>
    <w:pPr>
      <w:spacing w:line="240" w:lineRule="auto"/>
    </w:pPr>
    <w:rPr>
      <w:rFonts w:ascii="宋体" w:hAnsi="宋体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1770</Words>
  <Characters>1949</Characters>
  <Lines>0</Lines>
  <Paragraphs>0</Paragraphs>
  <TotalTime>2</TotalTime>
  <ScaleCrop>false</ScaleCrop>
  <LinksUpToDate>false</LinksUpToDate>
  <CharactersWithSpaces>2156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2022-06-20T08:27:00Z</dcterms:created>
  <dc:creator>NTKO</dc:creator>
  <cp:lastModifiedBy>NTKO</cp:lastModifiedBy>
  <dcterms:modified xsi:type="dcterms:W3CDTF">2022-06-20T08:30:34Z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38AF165278C6407E90BB57F0B51A318D</vt:lpwstr>
  </property>
</Properties>
</file>