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sz w:val="32"/>
          <w:szCs w:val="28"/>
          <w:lang w:eastAsia="zh-CN"/>
        </w:rPr>
      </w:pPr>
      <w:r>
        <w:rPr>
          <w:rFonts w:hint="eastAsia"/>
          <w:sz w:val="32"/>
          <w:szCs w:val="28"/>
          <w:lang w:eastAsia="zh-CN"/>
        </w:rPr>
        <w:t>采购需求</w:t>
      </w:r>
    </w:p>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项目内容</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松材线虫病综合防治监管平台采购，枯死松树清理、打孔注药松树、即死即清松树实施登记及监管核查登记，秋季枯死松树调查登记，上述数据备份、导出及分析统计，</w:t>
      </w:r>
      <w:r>
        <w:rPr>
          <w:rFonts w:hint="eastAsia" w:ascii="宋体" w:hAnsi="宋体" w:eastAsia="宋体" w:cs="宋体"/>
          <w:color w:val="auto"/>
          <w:sz w:val="24"/>
          <w:szCs w:val="24"/>
          <w:highlight w:val="none"/>
          <w:u w:val="none"/>
          <w:lang w:val="en-US" w:eastAsia="zh-CN"/>
        </w:rPr>
        <w:t>软件平台使用及数据维护</w:t>
      </w:r>
      <w:r>
        <w:rPr>
          <w:rFonts w:hint="eastAsia" w:ascii="宋体" w:hAnsi="宋体" w:eastAsia="宋体" w:cs="宋体"/>
          <w:sz w:val="24"/>
          <w:szCs w:val="24"/>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实施时间</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2022年10月-2024年9月两个防治年度（具体以签订合同为准）。 </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实施数量</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480" w:firstLineChars="200"/>
        <w:textAlignment w:val="auto"/>
        <w:rPr>
          <w:rFonts w:hint="eastAsia"/>
          <w:lang w:val="en-US" w:eastAsia="zh-CN"/>
        </w:rPr>
      </w:pPr>
      <w:r>
        <w:rPr>
          <w:rFonts w:hint="eastAsia" w:ascii="宋体" w:hAnsi="宋体" w:eastAsia="宋体" w:cs="宋体"/>
          <w:sz w:val="24"/>
          <w:szCs w:val="24"/>
          <w:lang w:val="en-US" w:eastAsia="zh-CN"/>
        </w:rPr>
        <w:t>每年枯死松树清理、打孔注药、即死即清松树总量不超过15万株。</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eastAsia="宋体"/>
          <w:sz w:val="24"/>
          <w:szCs w:val="24"/>
          <w:lang w:val="en-US" w:eastAsia="zh-CN"/>
        </w:rPr>
      </w:pPr>
      <w:r>
        <w:rPr>
          <w:rFonts w:hint="eastAsia" w:ascii="宋体" w:hAnsi="宋体" w:eastAsia="宋体" w:cs="宋体"/>
          <w:sz w:val="24"/>
          <w:szCs w:val="24"/>
          <w:lang w:eastAsia="zh-CN"/>
        </w:rPr>
        <w:t>四</w:t>
      </w:r>
      <w:r>
        <w:rPr>
          <w:rFonts w:hint="eastAsia" w:ascii="宋体" w:hAnsi="宋体" w:eastAsia="宋体" w:cs="宋体"/>
          <w:sz w:val="24"/>
          <w:szCs w:val="24"/>
        </w:rPr>
        <w:t>、</w:t>
      </w:r>
      <w:r>
        <w:rPr>
          <w:rFonts w:hint="eastAsia" w:ascii="宋体" w:hAnsi="宋体" w:eastAsia="宋体" w:cs="宋体"/>
          <w:sz w:val="24"/>
          <w:szCs w:val="24"/>
          <w:lang w:eastAsia="zh-CN"/>
        </w:rPr>
        <w:t>服务需求</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1、供应商供应的系统软件平台必须满足采购人的实际使用需求，并根据采购人要求进行二次开发或者优化，在产品使用年限内提供不限次数的免费升级服务。相关的费用已包含在供应商的报价当中。</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2、如遇产品使用过程中存在质量问题或故障，供应商须在4小时内现场响应，直至问题解决，恢复使用功能。可以通过在线或远程处理的除外。</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3、供应商必须对平台采集或获取的数据安全性和保密负责，如出现泄密，供应商承担一切责任。</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4、每年向采购人提供一次完整的数据备份。</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五</w:t>
      </w:r>
      <w:r>
        <w:rPr>
          <w:rFonts w:hint="eastAsia" w:ascii="宋体" w:hAnsi="宋体" w:eastAsia="宋体" w:cs="宋体"/>
          <w:sz w:val="24"/>
          <w:szCs w:val="24"/>
        </w:rPr>
        <w:t>、技术培训</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供应商必须提供培训服务，包括课堂演示指导和实地操作等方式，确保采购人或使用人能够熟练掌握使用方法。</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六</w:t>
      </w:r>
      <w:r>
        <w:rPr>
          <w:rFonts w:hint="eastAsia" w:ascii="宋体" w:hAnsi="宋体" w:eastAsia="宋体" w:cs="宋体"/>
          <w:sz w:val="24"/>
          <w:szCs w:val="24"/>
        </w:rPr>
        <w:t>、服务期限</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1、成交供应商合同签订之日起10日将软件平台部署完成，20日内完成培训工作。</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u w:val="none"/>
          <w:lang w:val="en-US" w:eastAsia="zh-CN"/>
        </w:rPr>
        <w:t>2、</w:t>
      </w:r>
      <w:r>
        <w:rPr>
          <w:rFonts w:hint="eastAsia" w:ascii="宋体" w:hAnsi="宋体" w:eastAsia="宋体" w:cs="宋体"/>
          <w:sz w:val="24"/>
          <w:szCs w:val="24"/>
        </w:rPr>
        <w:t>实施时间：2022年10月-2024年9月两个防治年度</w:t>
      </w:r>
      <w:r>
        <w:rPr>
          <w:rFonts w:hint="eastAsia" w:ascii="宋体" w:hAnsi="宋体" w:eastAsia="宋体" w:cs="宋体"/>
          <w:sz w:val="24"/>
          <w:szCs w:val="24"/>
          <w:lang w:eastAsia="zh-CN"/>
        </w:rPr>
        <w:t>（</w:t>
      </w:r>
      <w:r>
        <w:rPr>
          <w:rFonts w:hint="eastAsia" w:ascii="宋体" w:hAnsi="宋体" w:eastAsia="宋体" w:cs="宋体"/>
          <w:color w:val="auto"/>
          <w:sz w:val="24"/>
          <w:szCs w:val="24"/>
        </w:rPr>
        <w:t>平台使用年度为2年</w:t>
      </w:r>
      <w:r>
        <w:rPr>
          <w:rFonts w:hint="eastAsia" w:ascii="宋体" w:hAnsi="宋体" w:eastAsia="宋体" w:cs="宋体"/>
          <w:sz w:val="24"/>
          <w:szCs w:val="24"/>
          <w:lang w:eastAsia="zh-CN"/>
        </w:rPr>
        <w:t>）</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备注:软件平台使用年限和数据维护期均为供应商服务期限。</w:t>
      </w:r>
    </w:p>
    <w:p>
      <w:pPr>
        <w:pStyle w:val="2"/>
        <w:rPr>
          <w:rFonts w:hint="eastAsia" w:ascii="宋体" w:hAnsi="宋体" w:eastAsia="宋体" w:cs="宋体"/>
          <w:color w:val="auto"/>
          <w:sz w:val="24"/>
          <w:szCs w:val="24"/>
          <w:highlight w:val="none"/>
          <w:u w:val="none"/>
          <w:lang w:val="en-US" w:eastAsia="zh-CN"/>
        </w:rPr>
      </w:pPr>
    </w:p>
    <w:p>
      <w:pPr>
        <w:pStyle w:val="6"/>
        <w:rPr>
          <w:rFonts w:hint="eastAsia" w:ascii="宋体" w:hAnsi="宋体" w:eastAsia="宋体" w:cs="宋体"/>
          <w:color w:val="auto"/>
          <w:sz w:val="24"/>
          <w:szCs w:val="24"/>
          <w:highlight w:val="none"/>
          <w:u w:val="none"/>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七、技术参数</w:t>
      </w:r>
    </w:p>
    <w:tbl>
      <w:tblPr>
        <w:tblStyle w:val="9"/>
        <w:tblW w:w="94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2"/>
        <w:gridCol w:w="713"/>
        <w:gridCol w:w="6525"/>
        <w:gridCol w:w="870"/>
        <w:gridCol w:w="6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3" w:hRule="atLeast"/>
          <w:jc w:val="center"/>
        </w:trPr>
        <w:tc>
          <w:tcPr>
            <w:tcW w:w="742"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pageBreakBefore w:val="0"/>
              <w:kinsoku/>
              <w:wordWrap/>
              <w:overflowPunct/>
              <w:topLinePunct w:val="0"/>
              <w:autoSpaceDE/>
              <w:autoSpaceDN/>
              <w:bidi w:val="0"/>
              <w:adjustRightInd/>
              <w:snapToGrid/>
              <w:spacing w:line="320" w:lineRule="exact"/>
              <w:ind w:firstLine="0" w:firstLineChars="0"/>
              <w:jc w:val="center"/>
              <w:rPr>
                <w:rStyle w:val="12"/>
                <w:rFonts w:hint="eastAsia" w:ascii="宋体" w:hAnsi="宋体" w:eastAsia="宋体" w:cs="宋体"/>
                <w:b/>
                <w:bCs/>
                <w:color w:val="000000"/>
                <w:sz w:val="21"/>
                <w:szCs w:val="21"/>
              </w:rPr>
            </w:pPr>
            <w:r>
              <w:rPr>
                <w:rStyle w:val="12"/>
                <w:rFonts w:hint="eastAsia" w:ascii="宋体" w:hAnsi="宋体" w:eastAsia="宋体" w:cs="宋体"/>
                <w:b/>
                <w:bCs/>
                <w:color w:val="000000"/>
                <w:sz w:val="21"/>
                <w:szCs w:val="21"/>
              </w:rPr>
              <w:t>序号</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pageBreakBefore w:val="0"/>
              <w:kinsoku/>
              <w:wordWrap/>
              <w:overflowPunct/>
              <w:topLinePunct w:val="0"/>
              <w:autoSpaceDE/>
              <w:autoSpaceDN/>
              <w:bidi w:val="0"/>
              <w:adjustRightInd/>
              <w:snapToGrid/>
              <w:spacing w:line="320" w:lineRule="exact"/>
              <w:ind w:firstLine="0" w:firstLineChars="0"/>
              <w:jc w:val="center"/>
              <w:rPr>
                <w:rStyle w:val="12"/>
                <w:rFonts w:hint="eastAsia" w:ascii="宋体" w:hAnsi="宋体" w:eastAsia="宋体" w:cs="宋体"/>
                <w:b/>
                <w:bCs/>
                <w:color w:val="000000"/>
                <w:sz w:val="21"/>
                <w:szCs w:val="21"/>
              </w:rPr>
            </w:pPr>
            <w:r>
              <w:rPr>
                <w:rStyle w:val="12"/>
                <w:rFonts w:hint="eastAsia" w:ascii="宋体" w:hAnsi="宋体" w:eastAsia="宋体" w:cs="宋体"/>
                <w:b/>
                <w:color w:val="000000"/>
                <w:sz w:val="21"/>
                <w:szCs w:val="21"/>
              </w:rPr>
              <w:t>名称</w:t>
            </w:r>
          </w:p>
        </w:tc>
        <w:tc>
          <w:tcPr>
            <w:tcW w:w="6525"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pageBreakBefore w:val="0"/>
              <w:kinsoku/>
              <w:wordWrap/>
              <w:overflowPunct/>
              <w:topLinePunct w:val="0"/>
              <w:autoSpaceDE/>
              <w:autoSpaceDN/>
              <w:bidi w:val="0"/>
              <w:adjustRightInd/>
              <w:snapToGrid/>
              <w:spacing w:line="320" w:lineRule="exact"/>
              <w:ind w:firstLine="0" w:firstLineChars="0"/>
              <w:jc w:val="center"/>
              <w:rPr>
                <w:rStyle w:val="12"/>
                <w:rFonts w:hint="eastAsia" w:ascii="宋体" w:hAnsi="宋体" w:eastAsia="宋体" w:cs="宋体"/>
                <w:b/>
                <w:sz w:val="21"/>
                <w:szCs w:val="21"/>
              </w:rPr>
            </w:pPr>
            <w:r>
              <w:rPr>
                <w:rStyle w:val="12"/>
                <w:rFonts w:hint="eastAsia" w:ascii="宋体" w:hAnsi="宋体" w:eastAsia="宋体" w:cs="宋体"/>
                <w:b/>
                <w:sz w:val="21"/>
                <w:szCs w:val="21"/>
              </w:rPr>
              <w:t>技术参数</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pageBreakBefore w:val="0"/>
              <w:kinsoku/>
              <w:wordWrap/>
              <w:overflowPunct/>
              <w:topLinePunct w:val="0"/>
              <w:autoSpaceDE/>
              <w:autoSpaceDN/>
              <w:bidi w:val="0"/>
              <w:adjustRightInd/>
              <w:snapToGrid/>
              <w:spacing w:line="320" w:lineRule="exact"/>
              <w:ind w:firstLine="0" w:firstLineChars="0"/>
              <w:jc w:val="center"/>
              <w:rPr>
                <w:rStyle w:val="12"/>
                <w:rFonts w:hint="eastAsia" w:ascii="宋体" w:hAnsi="宋体" w:eastAsia="宋体" w:cs="宋体"/>
                <w:b/>
                <w:bCs/>
                <w:color w:val="000000"/>
                <w:sz w:val="21"/>
                <w:szCs w:val="21"/>
              </w:rPr>
            </w:pPr>
            <w:r>
              <w:rPr>
                <w:rStyle w:val="12"/>
                <w:rFonts w:hint="eastAsia" w:ascii="宋体" w:hAnsi="宋体" w:eastAsia="宋体" w:cs="宋体"/>
                <w:b/>
                <w:bCs/>
                <w:color w:val="000000"/>
                <w:sz w:val="21"/>
                <w:szCs w:val="21"/>
              </w:rPr>
              <w:t>数量</w:t>
            </w:r>
          </w:p>
        </w:tc>
        <w:tc>
          <w:tcPr>
            <w:tcW w:w="627" w:type="dxa"/>
            <w:tcBorders>
              <w:top w:val="single" w:color="000000" w:sz="4" w:space="0"/>
              <w:left w:val="single" w:color="000000" w:sz="4" w:space="0"/>
              <w:bottom w:val="single" w:color="000000" w:sz="4" w:space="0"/>
              <w:right w:val="single" w:color="000000" w:sz="4" w:space="0"/>
            </w:tcBorders>
            <w:noWrap w:val="0"/>
            <w:vAlign w:val="center"/>
          </w:tcPr>
          <w:p>
            <w:pPr>
              <w:pStyle w:val="11"/>
              <w:keepNext w:val="0"/>
              <w:keepLines w:val="0"/>
              <w:pageBreakBefore w:val="0"/>
              <w:kinsoku/>
              <w:wordWrap/>
              <w:overflowPunct/>
              <w:topLinePunct w:val="0"/>
              <w:autoSpaceDE/>
              <w:autoSpaceDN/>
              <w:bidi w:val="0"/>
              <w:adjustRightInd/>
              <w:snapToGrid/>
              <w:spacing w:line="320" w:lineRule="exact"/>
              <w:ind w:firstLine="0" w:firstLineChars="0"/>
              <w:jc w:val="center"/>
              <w:rPr>
                <w:rStyle w:val="12"/>
                <w:rFonts w:hint="eastAsia" w:ascii="宋体" w:hAnsi="宋体" w:eastAsia="宋体" w:cs="宋体"/>
                <w:b/>
                <w:bCs/>
                <w:color w:val="000000"/>
                <w:sz w:val="21"/>
                <w:szCs w:val="21"/>
              </w:rPr>
            </w:pPr>
            <w:r>
              <w:rPr>
                <w:rStyle w:val="12"/>
                <w:rFonts w:hint="eastAsia" w:ascii="宋体" w:hAnsi="宋体" w:eastAsia="宋体" w:cs="宋体"/>
                <w:b/>
                <w:bCs/>
                <w:color w:val="000000"/>
                <w:sz w:val="21"/>
                <w:szCs w:val="2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6" w:hRule="atLeast"/>
          <w:jc w:val="center"/>
        </w:trPr>
        <w:tc>
          <w:tcPr>
            <w:tcW w:w="742" w:type="dxa"/>
            <w:tcBorders>
              <w:top w:val="single" w:color="000000" w:sz="4" w:space="0"/>
              <w:left w:val="single" w:color="000000" w:sz="4" w:space="0"/>
              <w:bottom w:val="single" w:color="auto" w:sz="4" w:space="0"/>
              <w:right w:val="single" w:color="000000" w:sz="4" w:space="0"/>
            </w:tcBorders>
            <w:noWrap w:val="0"/>
            <w:vAlign w:val="center"/>
          </w:tcPr>
          <w:p>
            <w:pPr>
              <w:pStyle w:val="11"/>
              <w:keepNext w:val="0"/>
              <w:keepLines w:val="0"/>
              <w:pageBreakBefore w:val="0"/>
              <w:kinsoku/>
              <w:wordWrap/>
              <w:overflowPunct/>
              <w:topLinePunct w:val="0"/>
              <w:autoSpaceDE/>
              <w:autoSpaceDN/>
              <w:bidi w:val="0"/>
              <w:adjustRightInd/>
              <w:snapToGrid/>
              <w:spacing w:line="320" w:lineRule="exact"/>
              <w:ind w:firstLine="0" w:firstLineChars="0"/>
              <w:jc w:val="center"/>
              <w:rPr>
                <w:rStyle w:val="12"/>
                <w:rFonts w:hint="eastAsia" w:ascii="宋体" w:hAnsi="宋体" w:eastAsia="宋体" w:cs="宋体"/>
                <w:bCs/>
                <w:color w:val="000000"/>
                <w:sz w:val="21"/>
                <w:szCs w:val="21"/>
              </w:rPr>
            </w:pPr>
            <w:r>
              <w:rPr>
                <w:rStyle w:val="12"/>
                <w:rFonts w:hint="eastAsia" w:ascii="宋体" w:hAnsi="宋体" w:eastAsia="宋体" w:cs="宋体"/>
                <w:bCs/>
                <w:color w:val="000000"/>
                <w:sz w:val="21"/>
                <w:szCs w:val="21"/>
              </w:rPr>
              <w:t>1</w:t>
            </w:r>
          </w:p>
        </w:tc>
        <w:tc>
          <w:tcPr>
            <w:tcW w:w="713" w:type="dxa"/>
            <w:tcBorders>
              <w:top w:val="single" w:color="000000" w:sz="4" w:space="0"/>
              <w:left w:val="single" w:color="000000" w:sz="4" w:space="0"/>
              <w:bottom w:val="single" w:color="auto" w:sz="4" w:space="0"/>
              <w:right w:val="single" w:color="000000" w:sz="4" w:space="0"/>
            </w:tcBorders>
            <w:noWrap w:val="0"/>
            <w:vAlign w:val="center"/>
          </w:tcPr>
          <w:p>
            <w:pPr>
              <w:pStyle w:val="11"/>
              <w:keepNext w:val="0"/>
              <w:keepLines w:val="0"/>
              <w:pageBreakBefore w:val="0"/>
              <w:kinsoku/>
              <w:wordWrap/>
              <w:overflowPunct/>
              <w:topLinePunct w:val="0"/>
              <w:autoSpaceDE/>
              <w:autoSpaceDN/>
              <w:bidi w:val="0"/>
              <w:adjustRightInd/>
              <w:snapToGrid/>
              <w:spacing w:line="320" w:lineRule="exact"/>
              <w:ind w:firstLine="0" w:firstLineChars="0"/>
              <w:jc w:val="center"/>
              <w:rPr>
                <w:rStyle w:val="12"/>
                <w:rFonts w:hint="eastAsia" w:ascii="宋体" w:hAnsi="宋体" w:eastAsia="宋体" w:cs="宋体"/>
                <w:bCs/>
                <w:color w:val="000000"/>
                <w:sz w:val="21"/>
                <w:szCs w:val="21"/>
                <w:lang w:val="en-US" w:eastAsia="zh-CN"/>
              </w:rPr>
            </w:pPr>
            <w:r>
              <w:rPr>
                <w:rStyle w:val="12"/>
                <w:rFonts w:hint="eastAsia" w:ascii="宋体" w:hAnsi="宋体" w:eastAsia="宋体" w:cs="宋体"/>
                <w:color w:val="000000"/>
                <w:sz w:val="21"/>
                <w:szCs w:val="21"/>
              </w:rPr>
              <w:t>松材线虫病综合防治监管平台</w:t>
            </w:r>
            <w:r>
              <w:rPr>
                <w:rStyle w:val="12"/>
                <w:rFonts w:hint="eastAsia" w:ascii="宋体" w:hAnsi="宋体" w:eastAsia="宋体" w:cs="宋体"/>
                <w:color w:val="000000"/>
                <w:sz w:val="21"/>
                <w:szCs w:val="21"/>
                <w:lang w:val="en-US" w:eastAsia="zh-CN"/>
              </w:rPr>
              <w:t>数据终端</w:t>
            </w:r>
          </w:p>
        </w:tc>
        <w:tc>
          <w:tcPr>
            <w:tcW w:w="6525" w:type="dxa"/>
            <w:tcBorders>
              <w:top w:val="single" w:color="000000" w:sz="4" w:space="0"/>
              <w:left w:val="single" w:color="000000" w:sz="4" w:space="0"/>
              <w:bottom w:val="single" w:color="auto" w:sz="4" w:space="0"/>
              <w:right w:val="single" w:color="000000" w:sz="4" w:space="0"/>
            </w:tcBorders>
            <w:noWrap w:val="0"/>
            <w:vAlign w:val="center"/>
          </w:tcPr>
          <w:p>
            <w:pPr>
              <w:pStyle w:val="13"/>
              <w:keepNext w:val="0"/>
              <w:keepLines w:val="0"/>
              <w:pageBreakBefore w:val="0"/>
              <w:numPr>
                <w:ilvl w:val="0"/>
                <w:numId w:val="0"/>
              </w:numPr>
              <w:kinsoku/>
              <w:wordWrap/>
              <w:overflowPunct/>
              <w:topLinePunct w:val="0"/>
              <w:autoSpaceDE/>
              <w:autoSpaceDN/>
              <w:bidi w:val="0"/>
              <w:adjustRightInd/>
              <w:snapToGrid/>
              <w:ind w:leftChars="0" w:firstLine="0" w:firstLineChars="0"/>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大数据监管平台描述</w:t>
            </w:r>
          </w:p>
          <w:p>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1 \* GB3</w:instrText>
            </w:r>
            <w:r>
              <w:rPr>
                <w:rFonts w:hint="eastAsia" w:ascii="宋体" w:hAnsi="宋体" w:eastAsia="宋体" w:cs="宋体"/>
                <w:sz w:val="21"/>
                <w:szCs w:val="21"/>
              </w:rPr>
              <w:fldChar w:fldCharType="separate"/>
            </w:r>
            <w:r>
              <w:rPr>
                <w:rFonts w:hint="eastAsia" w:ascii="宋体" w:hAnsi="宋体" w:eastAsia="宋体" w:cs="宋体"/>
                <w:sz w:val="21"/>
                <w:szCs w:val="21"/>
              </w:rPr>
              <w:t>①</w:t>
            </w:r>
            <w:r>
              <w:rPr>
                <w:rFonts w:hint="eastAsia" w:ascii="宋体" w:hAnsi="宋体" w:eastAsia="宋体" w:cs="宋体"/>
                <w:sz w:val="21"/>
                <w:szCs w:val="21"/>
              </w:rPr>
              <w:fldChar w:fldCharType="end"/>
            </w:r>
            <w:r>
              <w:rPr>
                <w:rFonts w:hint="eastAsia" w:ascii="宋体" w:hAnsi="宋体" w:eastAsia="宋体" w:cs="宋体"/>
                <w:sz w:val="21"/>
                <w:szCs w:val="21"/>
              </w:rPr>
              <w:t>实现从下到上松材线虫病防治作业数据实时传输；</w:t>
            </w:r>
          </w:p>
          <w:p>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2 \* GB3</w:instrText>
            </w:r>
            <w:r>
              <w:rPr>
                <w:rFonts w:hint="eastAsia" w:ascii="宋体" w:hAnsi="宋体" w:eastAsia="宋体" w:cs="宋体"/>
                <w:sz w:val="21"/>
                <w:szCs w:val="21"/>
              </w:rPr>
              <w:fldChar w:fldCharType="separate"/>
            </w:r>
            <w:r>
              <w:rPr>
                <w:rFonts w:hint="eastAsia" w:ascii="宋体" w:hAnsi="宋体" w:eastAsia="宋体" w:cs="宋体"/>
                <w:sz w:val="21"/>
                <w:szCs w:val="21"/>
              </w:rPr>
              <w:t>②</w:t>
            </w:r>
            <w:r>
              <w:rPr>
                <w:rFonts w:hint="eastAsia" w:ascii="宋体" w:hAnsi="宋体" w:eastAsia="宋体" w:cs="宋体"/>
                <w:sz w:val="21"/>
                <w:szCs w:val="21"/>
              </w:rPr>
              <w:fldChar w:fldCharType="end"/>
            </w:r>
            <w:r>
              <w:rPr>
                <w:rFonts w:hint="eastAsia" w:ascii="宋体" w:hAnsi="宋体" w:eastAsia="宋体" w:cs="宋体"/>
                <w:sz w:val="21"/>
                <w:szCs w:val="21"/>
              </w:rPr>
              <w:t>实现从下而上枯死松树清理监管审核、统计等动态管理；</w:t>
            </w:r>
          </w:p>
          <w:p>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sz w:val="21"/>
                <w:szCs w:val="21"/>
              </w:rPr>
            </w:pPr>
            <w:r>
              <w:rPr>
                <w:rFonts w:hint="eastAsia" w:ascii="宋体" w:hAnsi="宋体" w:eastAsia="宋体" w:cs="宋体"/>
                <w:sz w:val="21"/>
                <w:szCs w:val="21"/>
              </w:rPr>
              <w:t>③创建乡镇、县级电子数据库，支持新生数据备份，并在五年内均可查。</w:t>
            </w:r>
          </w:p>
          <w:p>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sz w:val="21"/>
                <w:szCs w:val="21"/>
              </w:rPr>
            </w:pPr>
            <w:r>
              <w:rPr>
                <w:rFonts w:hint="eastAsia" w:ascii="宋体" w:hAnsi="宋体" w:eastAsia="宋体" w:cs="宋体"/>
                <w:sz w:val="21"/>
                <w:szCs w:val="21"/>
              </w:rPr>
              <w:t>2.用户管理</w:t>
            </w:r>
          </w:p>
          <w:p>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1 \* GB3</w:instrText>
            </w:r>
            <w:r>
              <w:rPr>
                <w:rFonts w:hint="eastAsia" w:ascii="宋体" w:hAnsi="宋体" w:eastAsia="宋体" w:cs="宋体"/>
                <w:sz w:val="21"/>
                <w:szCs w:val="21"/>
              </w:rPr>
              <w:fldChar w:fldCharType="separate"/>
            </w:r>
            <w:r>
              <w:rPr>
                <w:rFonts w:hint="eastAsia" w:ascii="宋体" w:hAnsi="宋体" w:eastAsia="宋体" w:cs="宋体"/>
                <w:sz w:val="21"/>
                <w:szCs w:val="21"/>
              </w:rPr>
              <w:t>①</w:t>
            </w:r>
            <w:r>
              <w:rPr>
                <w:rFonts w:hint="eastAsia" w:ascii="宋体" w:hAnsi="宋体" w:eastAsia="宋体" w:cs="宋体"/>
                <w:sz w:val="21"/>
                <w:szCs w:val="21"/>
              </w:rPr>
              <w:fldChar w:fldCharType="end"/>
            </w:r>
            <w:r>
              <w:rPr>
                <w:rFonts w:hint="eastAsia" w:ascii="宋体" w:hAnsi="宋体" w:eastAsia="宋体" w:cs="宋体"/>
                <w:sz w:val="21"/>
                <w:szCs w:val="21"/>
              </w:rPr>
              <w:t>支持自行创建管理用户，用户类型包括具有PC端管理权限的县、乡镇级管理员。</w:t>
            </w:r>
          </w:p>
          <w:p>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sz w:val="21"/>
                <w:szCs w:val="21"/>
              </w:rPr>
            </w:pPr>
            <w:r>
              <w:rPr>
                <w:rFonts w:hint="eastAsia" w:ascii="宋体" w:hAnsi="宋体" w:eastAsia="宋体" w:cs="宋体"/>
                <w:sz w:val="21"/>
                <w:szCs w:val="21"/>
              </w:rPr>
              <w:t>②支持自行创建手机端应用权限的施工作业人员作业。</w:t>
            </w:r>
          </w:p>
          <w:p>
            <w:pPr>
              <w:pStyle w:val="14"/>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sz w:val="21"/>
                <w:szCs w:val="21"/>
              </w:rPr>
            </w:pPr>
            <w:r>
              <w:rPr>
                <w:rFonts w:hint="eastAsia" w:ascii="宋体" w:hAnsi="宋体" w:eastAsia="宋体" w:cs="宋体"/>
                <w:sz w:val="21"/>
                <w:szCs w:val="21"/>
              </w:rPr>
              <w:t>3. 地图管理</w:t>
            </w:r>
          </w:p>
          <w:p>
            <w:pPr>
              <w:pStyle w:val="14"/>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sz w:val="21"/>
                <w:szCs w:val="21"/>
              </w:rPr>
            </w:pPr>
            <w:r>
              <w:rPr>
                <w:rFonts w:hint="eastAsia" w:ascii="宋体" w:hAnsi="宋体" w:eastAsia="宋体" w:cs="宋体"/>
                <w:sz w:val="21"/>
                <w:szCs w:val="21"/>
              </w:rPr>
              <w:t>系统支持在线加载或离线缓存卫星地图及二维地图、PC管理端进行在线管理。</w:t>
            </w:r>
          </w:p>
          <w:p>
            <w:pPr>
              <w:pStyle w:val="14"/>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sz w:val="21"/>
                <w:szCs w:val="21"/>
              </w:rPr>
            </w:pPr>
            <w:r>
              <w:rPr>
                <w:rFonts w:hint="eastAsia" w:ascii="宋体" w:hAnsi="宋体" w:eastAsia="宋体" w:cs="宋体"/>
                <w:sz w:val="21"/>
                <w:szCs w:val="21"/>
              </w:rPr>
              <w:t>★4. 可视化</w:t>
            </w:r>
          </w:p>
          <w:p>
            <w:pPr>
              <w:pStyle w:val="14"/>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sz w:val="21"/>
                <w:szCs w:val="21"/>
              </w:rPr>
            </w:pPr>
            <w:r>
              <w:rPr>
                <w:rFonts w:hint="eastAsia" w:ascii="宋体" w:hAnsi="宋体" w:eastAsia="宋体" w:cs="宋体"/>
                <w:sz w:val="21"/>
                <w:szCs w:val="21"/>
              </w:rPr>
              <w:t>①数据地图分布可视化。包括实时清理路线、枯死松树除治点分布、伐桩处理、核查点分布；</w:t>
            </w:r>
          </w:p>
          <w:p>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sz w:val="21"/>
                <w:szCs w:val="21"/>
              </w:rPr>
            </w:pPr>
            <w:r>
              <w:rPr>
                <w:rFonts w:hint="eastAsia" w:ascii="宋体" w:hAnsi="宋体" w:eastAsia="宋体" w:cs="宋体"/>
                <w:sz w:val="21"/>
                <w:szCs w:val="21"/>
              </w:rPr>
              <w:t>②小班可视化。包括小班分布，小班属性，枯死松树清理除治等调查数据按小班汇总可视化；</w:t>
            </w:r>
          </w:p>
          <w:p>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sz w:val="21"/>
                <w:szCs w:val="21"/>
              </w:rPr>
            </w:pPr>
            <w:r>
              <w:rPr>
                <w:rFonts w:hint="eastAsia" w:ascii="宋体" w:hAnsi="宋体" w:eastAsia="宋体" w:cs="宋体"/>
                <w:sz w:val="21"/>
                <w:szCs w:val="21"/>
              </w:rPr>
              <w:t>③施工作业可视化。包括枯死松树伐倒木与清理人员、伐倒木的根部截面与伐桩截面、伐桩的钢丝网罩处理与标识牌照片。针对此项要求有前期开发经验基础，提供松材线虫病调查智能巡护数据监管系统的软件测试报告。</w:t>
            </w:r>
          </w:p>
          <w:p>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sz w:val="21"/>
                <w:szCs w:val="21"/>
              </w:rPr>
            </w:pPr>
            <w:r>
              <w:rPr>
                <w:rFonts w:hint="eastAsia" w:ascii="宋体" w:hAnsi="宋体" w:eastAsia="宋体" w:cs="宋体"/>
                <w:sz w:val="21"/>
                <w:szCs w:val="21"/>
              </w:rPr>
              <w:t>★5.对接国家松材线虫病精细化监管平台能力</w:t>
            </w:r>
          </w:p>
          <w:p>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sz w:val="21"/>
                <w:szCs w:val="21"/>
              </w:rPr>
            </w:pPr>
            <w:r>
              <w:rPr>
                <w:rFonts w:hint="eastAsia" w:ascii="宋体" w:hAnsi="宋体" w:eastAsia="宋体" w:cs="宋体"/>
                <w:sz w:val="21"/>
                <w:szCs w:val="21"/>
              </w:rPr>
              <w:t>软件平台数据能接入国家松材线虫病精细化监管平台，实现管理数据和调查数据与国家系统互联互通，提供能接入国家松材线虫病精细化监管平台能力的证明材料（如类似国家级松材线虫病相关平台软件开发经验等）。</w:t>
            </w:r>
          </w:p>
          <w:p>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sz w:val="21"/>
                <w:szCs w:val="21"/>
              </w:rPr>
            </w:pPr>
            <w:r>
              <w:rPr>
                <w:rFonts w:hint="eastAsia" w:ascii="宋体" w:hAnsi="宋体" w:eastAsia="宋体" w:cs="宋体"/>
                <w:sz w:val="21"/>
                <w:szCs w:val="21"/>
              </w:rPr>
              <w:t>6. 使用期限</w:t>
            </w:r>
          </w:p>
          <w:p>
            <w:pPr>
              <w:keepNext w:val="0"/>
              <w:keepLines w:val="0"/>
              <w:pageBreakBefore w:val="0"/>
              <w:kinsoku/>
              <w:wordWrap/>
              <w:overflowPunct/>
              <w:topLinePunct w:val="0"/>
              <w:autoSpaceDE/>
              <w:autoSpaceDN/>
              <w:bidi w:val="0"/>
              <w:adjustRightInd/>
              <w:snapToGrid/>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平台使用年度为2年。</w:t>
            </w:r>
          </w:p>
          <w:p>
            <w:pPr>
              <w:pStyle w:val="15"/>
              <w:keepNext w:val="0"/>
              <w:keepLines w:val="0"/>
              <w:pageBreakBefore w:val="0"/>
              <w:kinsoku/>
              <w:wordWrap/>
              <w:overflowPunct/>
              <w:topLinePunct w:val="0"/>
              <w:autoSpaceDE/>
              <w:autoSpaceDN/>
              <w:bidi w:val="0"/>
              <w:adjustRightInd/>
              <w:snapToGrid/>
              <w:spacing w:beforeLines="0" w:after="0"/>
              <w:ind w:left="0" w:leftChars="0" w:firstLine="0"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7.易用性、人性化、智能化</w:t>
            </w:r>
          </w:p>
          <w:p>
            <w:pPr>
              <w:pStyle w:val="15"/>
              <w:keepNext w:val="0"/>
              <w:keepLines w:val="0"/>
              <w:pageBreakBefore w:val="0"/>
              <w:kinsoku/>
              <w:wordWrap/>
              <w:overflowPunct/>
              <w:topLinePunct w:val="0"/>
              <w:autoSpaceDE/>
              <w:autoSpaceDN/>
              <w:bidi w:val="0"/>
              <w:adjustRightInd/>
              <w:snapToGrid/>
              <w:spacing w:beforeLines="0" w:after="0"/>
              <w:ind w:left="0" w:leftChars="0" w:firstLine="0"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①界面简洁，提示充分，操作简单，针对性强，无多余元素</w:t>
            </w:r>
          </w:p>
          <w:p>
            <w:pPr>
              <w:pStyle w:val="15"/>
              <w:keepNext w:val="0"/>
              <w:keepLines w:val="0"/>
              <w:pageBreakBefore w:val="0"/>
              <w:kinsoku/>
              <w:wordWrap/>
              <w:overflowPunct/>
              <w:topLinePunct w:val="0"/>
              <w:autoSpaceDE/>
              <w:autoSpaceDN/>
              <w:bidi w:val="0"/>
              <w:adjustRightInd/>
              <w:snapToGrid/>
              <w:spacing w:beforeLines="0" w:after="0"/>
              <w:ind w:left="0" w:leftChars="0" w:firstLine="0"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②充分考虑实际使用中可能出现的情况，能智能判断并自动采取有针对性处理流程。</w:t>
            </w:r>
          </w:p>
          <w:p>
            <w:pPr>
              <w:pStyle w:val="15"/>
              <w:keepNext w:val="0"/>
              <w:keepLines w:val="0"/>
              <w:pageBreakBefore w:val="0"/>
              <w:kinsoku/>
              <w:wordWrap/>
              <w:overflowPunct/>
              <w:topLinePunct w:val="0"/>
              <w:autoSpaceDE/>
              <w:autoSpaceDN/>
              <w:bidi w:val="0"/>
              <w:adjustRightInd/>
              <w:snapToGrid/>
              <w:spacing w:beforeLines="0" w:after="0"/>
              <w:ind w:left="0" w:leftChars="0" w:firstLine="0"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8.实现监管内容</w:t>
            </w:r>
          </w:p>
          <w:p>
            <w:pPr>
              <w:pStyle w:val="15"/>
              <w:keepNext w:val="0"/>
              <w:keepLines w:val="0"/>
              <w:pageBreakBefore w:val="0"/>
              <w:kinsoku/>
              <w:wordWrap/>
              <w:overflowPunct/>
              <w:topLinePunct w:val="0"/>
              <w:autoSpaceDE/>
              <w:autoSpaceDN/>
              <w:bidi w:val="0"/>
              <w:adjustRightInd/>
              <w:snapToGrid/>
              <w:spacing w:beforeLines="0" w:after="0"/>
              <w:ind w:left="0" w:leftChars="0" w:firstLine="0"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①枯死松树清理登记。</w:t>
            </w:r>
          </w:p>
          <w:p>
            <w:pPr>
              <w:pStyle w:val="15"/>
              <w:keepNext w:val="0"/>
              <w:keepLines w:val="0"/>
              <w:pageBreakBefore w:val="0"/>
              <w:kinsoku/>
              <w:wordWrap/>
              <w:overflowPunct/>
              <w:topLinePunct w:val="0"/>
              <w:autoSpaceDE/>
              <w:autoSpaceDN/>
              <w:bidi w:val="0"/>
              <w:adjustRightInd/>
              <w:snapToGrid/>
              <w:spacing w:beforeLines="0" w:after="0"/>
              <w:ind w:left="0" w:leftChars="0" w:firstLine="0"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②打孔注药松树登记。</w:t>
            </w:r>
          </w:p>
          <w:p>
            <w:pPr>
              <w:pStyle w:val="15"/>
              <w:keepNext w:val="0"/>
              <w:keepLines w:val="0"/>
              <w:pageBreakBefore w:val="0"/>
              <w:kinsoku/>
              <w:wordWrap/>
              <w:overflowPunct/>
              <w:topLinePunct w:val="0"/>
              <w:autoSpaceDE/>
              <w:autoSpaceDN/>
              <w:bidi w:val="0"/>
              <w:adjustRightInd/>
              <w:snapToGrid/>
              <w:spacing w:beforeLines="0" w:after="0"/>
              <w:ind w:left="0" w:leftChars="0" w:firstLine="0"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③即死即清松树登记。</w:t>
            </w:r>
          </w:p>
          <w:p>
            <w:pPr>
              <w:pStyle w:val="15"/>
              <w:keepNext w:val="0"/>
              <w:keepLines w:val="0"/>
              <w:pageBreakBefore w:val="0"/>
              <w:kinsoku/>
              <w:wordWrap/>
              <w:overflowPunct/>
              <w:topLinePunct w:val="0"/>
              <w:autoSpaceDE/>
              <w:autoSpaceDN/>
              <w:bidi w:val="0"/>
              <w:adjustRightInd/>
              <w:snapToGrid/>
              <w:spacing w:beforeLines="0" w:after="0"/>
              <w:ind w:left="0" w:leftChars="0" w:firstLine="0"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5-8月即死即清枯死松树发现登记，5-8月即死即清枯死松树清理登记，5-8月即死即清枯死松树监管登记</w:t>
            </w:r>
          </w:p>
          <w:p>
            <w:pPr>
              <w:pStyle w:val="15"/>
              <w:keepNext w:val="0"/>
              <w:keepLines w:val="0"/>
              <w:pageBreakBefore w:val="0"/>
              <w:kinsoku/>
              <w:wordWrap/>
              <w:overflowPunct/>
              <w:topLinePunct w:val="0"/>
              <w:autoSpaceDE/>
              <w:autoSpaceDN/>
              <w:bidi w:val="0"/>
              <w:adjustRightInd/>
              <w:snapToGrid/>
              <w:spacing w:beforeLines="0" w:after="0"/>
              <w:ind w:left="0" w:leftChars="0" w:firstLine="0"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④秋季枯死松树调查。</w:t>
            </w:r>
          </w:p>
          <w:p>
            <w:pPr>
              <w:pStyle w:val="15"/>
              <w:keepNext w:val="0"/>
              <w:keepLines w:val="0"/>
              <w:pageBreakBefore w:val="0"/>
              <w:kinsoku/>
              <w:wordWrap/>
              <w:overflowPunct/>
              <w:topLinePunct w:val="0"/>
              <w:autoSpaceDE/>
              <w:autoSpaceDN/>
              <w:bidi w:val="0"/>
              <w:adjustRightInd/>
              <w:snapToGrid/>
              <w:spacing w:beforeLines="0" w:after="0"/>
              <w:ind w:left="0" w:leftChars="0" w:firstLine="0" w:firstLineChars="0"/>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允许枯死松树目视远距离定位和人员所在位置双重定位，允许后期核查调整，允许数据导出并</w:t>
            </w:r>
            <w:r>
              <w:rPr>
                <w:rFonts w:hint="eastAsia" w:ascii="宋体" w:hAnsi="宋体" w:eastAsia="宋体" w:cs="宋体"/>
                <w:color w:val="auto"/>
                <w:sz w:val="21"/>
                <w:szCs w:val="21"/>
              </w:rPr>
              <w:t>能接入国家松材线虫病精细化监管平台</w:t>
            </w:r>
            <w:r>
              <w:rPr>
                <w:rFonts w:hint="eastAsia" w:ascii="宋体" w:hAnsi="宋体" w:eastAsia="宋体" w:cs="宋体"/>
                <w:color w:val="auto"/>
                <w:kern w:val="2"/>
                <w:sz w:val="21"/>
                <w:szCs w:val="21"/>
                <w:lang w:val="en-US" w:eastAsia="zh-CN" w:bidi="ar-SA"/>
              </w:rPr>
              <w:t>。</w:t>
            </w:r>
          </w:p>
          <w:p>
            <w:pPr>
              <w:pStyle w:val="15"/>
              <w:keepNext w:val="0"/>
              <w:keepLines w:val="0"/>
              <w:pageBreakBefore w:val="0"/>
              <w:kinsoku/>
              <w:wordWrap/>
              <w:overflowPunct/>
              <w:topLinePunct w:val="0"/>
              <w:autoSpaceDE/>
              <w:autoSpaceDN/>
              <w:bidi w:val="0"/>
              <w:adjustRightInd/>
              <w:snapToGrid/>
              <w:spacing w:beforeLines="0" w:after="0"/>
              <w:ind w:left="0" w:leftChars="0" w:firstLine="0" w:firstLineChars="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⑤枯死松树清理验收抽样核查。</w:t>
            </w:r>
          </w:p>
          <w:p>
            <w:pPr>
              <w:pStyle w:val="15"/>
              <w:keepNext w:val="0"/>
              <w:keepLines w:val="0"/>
              <w:pageBreakBefore w:val="0"/>
              <w:kinsoku/>
              <w:wordWrap/>
              <w:overflowPunct/>
              <w:topLinePunct w:val="0"/>
              <w:autoSpaceDE/>
              <w:autoSpaceDN/>
              <w:bidi w:val="0"/>
              <w:adjustRightInd/>
              <w:snapToGrid/>
              <w:spacing w:beforeLines="0" w:after="0"/>
              <w:ind w:left="0" w:leftChars="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lang w:val="en-US" w:eastAsia="zh-CN" w:bidi="ar-SA"/>
              </w:rPr>
              <w:t>⑥打孔注药松树验收抽样核查。</w:t>
            </w:r>
          </w:p>
        </w:tc>
        <w:tc>
          <w:tcPr>
            <w:tcW w:w="870" w:type="dxa"/>
            <w:tcBorders>
              <w:top w:val="single" w:color="000000" w:sz="4" w:space="0"/>
              <w:left w:val="single" w:color="000000" w:sz="4" w:space="0"/>
              <w:bottom w:val="single" w:color="auto" w:sz="4" w:space="0"/>
              <w:right w:val="single" w:color="000000" w:sz="4" w:space="0"/>
            </w:tcBorders>
            <w:noWrap w:val="0"/>
            <w:vAlign w:val="center"/>
          </w:tcPr>
          <w:p>
            <w:pPr>
              <w:pStyle w:val="11"/>
              <w:keepNext w:val="0"/>
              <w:keepLines w:val="0"/>
              <w:pageBreakBefore w:val="0"/>
              <w:kinsoku/>
              <w:wordWrap/>
              <w:overflowPunct/>
              <w:topLinePunct w:val="0"/>
              <w:autoSpaceDE/>
              <w:autoSpaceDN/>
              <w:bidi w:val="0"/>
              <w:adjustRightInd/>
              <w:snapToGrid/>
              <w:spacing w:line="320" w:lineRule="exact"/>
              <w:ind w:firstLine="0" w:firstLineChars="0"/>
              <w:jc w:val="center"/>
              <w:rPr>
                <w:rStyle w:val="12"/>
                <w:rFonts w:hint="eastAsia" w:ascii="宋体" w:hAnsi="宋体" w:eastAsia="宋体" w:cs="宋体"/>
                <w:bCs/>
                <w:color w:val="000000"/>
                <w:sz w:val="21"/>
                <w:szCs w:val="21"/>
              </w:rPr>
            </w:pPr>
            <w:r>
              <w:rPr>
                <w:rStyle w:val="12"/>
                <w:rFonts w:hint="eastAsia" w:ascii="宋体" w:hAnsi="宋体" w:eastAsia="宋体" w:cs="宋体"/>
                <w:bCs/>
                <w:color w:val="000000"/>
                <w:sz w:val="21"/>
                <w:szCs w:val="21"/>
              </w:rPr>
              <w:t>1</w:t>
            </w:r>
          </w:p>
          <w:p>
            <w:pPr>
              <w:pStyle w:val="11"/>
              <w:keepNext w:val="0"/>
              <w:keepLines w:val="0"/>
              <w:pageBreakBefore w:val="0"/>
              <w:kinsoku/>
              <w:wordWrap/>
              <w:overflowPunct/>
              <w:topLinePunct w:val="0"/>
              <w:autoSpaceDE/>
              <w:autoSpaceDN/>
              <w:bidi w:val="0"/>
              <w:adjustRightInd/>
              <w:snapToGrid/>
              <w:spacing w:line="320" w:lineRule="exact"/>
              <w:ind w:firstLine="0" w:firstLineChars="0"/>
              <w:jc w:val="center"/>
              <w:rPr>
                <w:rStyle w:val="12"/>
                <w:rFonts w:hint="eastAsia" w:ascii="宋体" w:hAnsi="宋体" w:eastAsia="宋体" w:cs="宋体"/>
                <w:bCs/>
                <w:color w:val="000000"/>
                <w:sz w:val="21"/>
                <w:szCs w:val="21"/>
              </w:rPr>
            </w:pPr>
            <w:r>
              <w:rPr>
                <w:rStyle w:val="12"/>
                <w:rFonts w:hint="eastAsia" w:ascii="宋体" w:hAnsi="宋体" w:eastAsia="宋体" w:cs="宋体"/>
                <w:bCs/>
                <w:color w:val="000000"/>
                <w:sz w:val="21"/>
                <w:szCs w:val="21"/>
              </w:rPr>
              <w:t>（含</w:t>
            </w:r>
            <w:r>
              <w:rPr>
                <w:rStyle w:val="12"/>
                <w:rFonts w:hint="eastAsia" w:ascii="宋体" w:hAnsi="宋体" w:eastAsia="宋体" w:cs="宋体"/>
                <w:bCs/>
                <w:color w:val="000000"/>
                <w:sz w:val="21"/>
                <w:szCs w:val="21"/>
                <w:lang w:val="en-US" w:eastAsia="zh-CN"/>
              </w:rPr>
              <w:t>县</w:t>
            </w:r>
            <w:r>
              <w:rPr>
                <w:rStyle w:val="12"/>
                <w:rFonts w:hint="eastAsia" w:ascii="宋体" w:hAnsi="宋体" w:eastAsia="宋体" w:cs="宋体"/>
                <w:bCs/>
                <w:color w:val="000000"/>
                <w:sz w:val="21"/>
                <w:szCs w:val="21"/>
              </w:rPr>
              <w:t>级PC管理终端2个；乡镇级PC管理终端</w:t>
            </w:r>
            <w:r>
              <w:rPr>
                <w:rStyle w:val="12"/>
                <w:rFonts w:hint="eastAsia" w:ascii="宋体" w:hAnsi="宋体" w:eastAsia="宋体" w:cs="宋体"/>
                <w:bCs/>
                <w:color w:val="000000"/>
                <w:sz w:val="21"/>
                <w:szCs w:val="21"/>
                <w:lang w:val="en-US" w:eastAsia="zh-CN"/>
              </w:rPr>
              <w:t>18个</w:t>
            </w:r>
            <w:r>
              <w:rPr>
                <w:rStyle w:val="12"/>
                <w:rFonts w:hint="eastAsia" w:ascii="宋体" w:hAnsi="宋体" w:eastAsia="宋体" w:cs="宋体"/>
                <w:bCs/>
                <w:color w:val="auto"/>
                <w:sz w:val="21"/>
                <w:szCs w:val="21"/>
              </w:rPr>
              <w:t>及不限数量的手机端）</w:t>
            </w:r>
          </w:p>
        </w:tc>
        <w:tc>
          <w:tcPr>
            <w:tcW w:w="627" w:type="dxa"/>
            <w:tcBorders>
              <w:top w:val="single" w:color="000000" w:sz="4" w:space="0"/>
              <w:left w:val="single" w:color="000000" w:sz="4" w:space="0"/>
              <w:bottom w:val="single" w:color="auto" w:sz="4" w:space="0"/>
              <w:right w:val="single" w:color="000000" w:sz="4" w:space="0"/>
            </w:tcBorders>
            <w:noWrap w:val="0"/>
            <w:vAlign w:val="center"/>
          </w:tcPr>
          <w:p>
            <w:pPr>
              <w:pStyle w:val="11"/>
              <w:keepNext w:val="0"/>
              <w:keepLines w:val="0"/>
              <w:pageBreakBefore w:val="0"/>
              <w:kinsoku/>
              <w:wordWrap/>
              <w:overflowPunct/>
              <w:topLinePunct w:val="0"/>
              <w:autoSpaceDE/>
              <w:autoSpaceDN/>
              <w:bidi w:val="0"/>
              <w:adjustRightInd/>
              <w:snapToGrid/>
              <w:spacing w:line="320" w:lineRule="exact"/>
              <w:ind w:firstLine="0" w:firstLineChars="0"/>
              <w:jc w:val="center"/>
              <w:rPr>
                <w:rStyle w:val="12"/>
                <w:rFonts w:hint="eastAsia" w:ascii="宋体" w:hAnsi="宋体" w:eastAsia="宋体" w:cs="宋体"/>
                <w:bCs/>
                <w:color w:val="000000"/>
                <w:sz w:val="21"/>
                <w:szCs w:val="21"/>
              </w:rPr>
            </w:pPr>
            <w:r>
              <w:rPr>
                <w:rStyle w:val="12"/>
                <w:rFonts w:hint="eastAsia" w:ascii="宋体" w:hAnsi="宋体" w:eastAsia="宋体" w:cs="宋体"/>
                <w:bCs/>
                <w:color w:val="000000"/>
                <w:sz w:val="21"/>
                <w:szCs w:val="21"/>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jc w:val="center"/>
        </w:trPr>
        <w:tc>
          <w:tcPr>
            <w:tcW w:w="742" w:type="dxa"/>
            <w:tcBorders>
              <w:top w:val="single" w:color="auto" w:sz="4" w:space="0"/>
              <w:left w:val="single" w:color="000000" w:sz="4" w:space="0"/>
              <w:bottom w:val="single" w:color="auto" w:sz="4" w:space="0"/>
              <w:right w:val="single" w:color="000000" w:sz="4" w:space="0"/>
            </w:tcBorders>
            <w:noWrap w:val="0"/>
            <w:vAlign w:val="center"/>
          </w:tcPr>
          <w:p>
            <w:pPr>
              <w:pStyle w:val="11"/>
              <w:keepNext w:val="0"/>
              <w:keepLines w:val="0"/>
              <w:pageBreakBefore w:val="0"/>
              <w:kinsoku/>
              <w:wordWrap/>
              <w:overflowPunct/>
              <w:topLinePunct w:val="0"/>
              <w:autoSpaceDE/>
              <w:autoSpaceDN/>
              <w:bidi w:val="0"/>
              <w:adjustRightInd/>
              <w:snapToGrid/>
              <w:spacing w:line="320" w:lineRule="exact"/>
              <w:ind w:firstLine="0" w:firstLineChars="0"/>
              <w:jc w:val="center"/>
              <w:rPr>
                <w:rStyle w:val="12"/>
                <w:rFonts w:hint="eastAsia" w:ascii="宋体" w:hAnsi="宋体" w:eastAsia="宋体" w:cs="宋体"/>
                <w:bCs/>
                <w:color w:val="000000"/>
                <w:sz w:val="21"/>
                <w:szCs w:val="21"/>
              </w:rPr>
            </w:pPr>
            <w:r>
              <w:rPr>
                <w:rStyle w:val="12"/>
                <w:rFonts w:hint="eastAsia" w:ascii="宋体" w:hAnsi="宋体" w:eastAsia="宋体" w:cs="宋体"/>
                <w:bCs/>
                <w:color w:val="000000"/>
                <w:sz w:val="21"/>
                <w:szCs w:val="21"/>
              </w:rPr>
              <w:t>2</w:t>
            </w:r>
          </w:p>
        </w:tc>
        <w:tc>
          <w:tcPr>
            <w:tcW w:w="713" w:type="dxa"/>
            <w:tcBorders>
              <w:top w:val="single" w:color="auto" w:sz="4" w:space="0"/>
              <w:left w:val="single" w:color="000000" w:sz="4" w:space="0"/>
              <w:bottom w:val="single" w:color="auto" w:sz="4" w:space="0"/>
              <w:right w:val="single" w:color="000000" w:sz="4" w:space="0"/>
            </w:tcBorders>
            <w:noWrap w:val="0"/>
            <w:vAlign w:val="center"/>
          </w:tcPr>
          <w:p>
            <w:pPr>
              <w:pStyle w:val="11"/>
              <w:keepNext w:val="0"/>
              <w:keepLines w:val="0"/>
              <w:pageBreakBefore w:val="0"/>
              <w:kinsoku/>
              <w:wordWrap/>
              <w:overflowPunct/>
              <w:topLinePunct w:val="0"/>
              <w:autoSpaceDE/>
              <w:autoSpaceDN/>
              <w:bidi w:val="0"/>
              <w:adjustRightInd/>
              <w:snapToGrid/>
              <w:spacing w:line="320" w:lineRule="exact"/>
              <w:ind w:firstLine="0" w:firstLineChars="0"/>
              <w:jc w:val="center"/>
              <w:rPr>
                <w:rStyle w:val="12"/>
                <w:rFonts w:hint="eastAsia" w:ascii="宋体" w:hAnsi="宋体" w:eastAsia="宋体" w:cs="宋体"/>
                <w:color w:val="000000"/>
                <w:sz w:val="21"/>
                <w:szCs w:val="21"/>
              </w:rPr>
            </w:pPr>
            <w:r>
              <w:rPr>
                <w:rStyle w:val="12"/>
                <w:rFonts w:hint="eastAsia" w:ascii="宋体" w:hAnsi="宋体" w:eastAsia="宋体" w:cs="宋体"/>
                <w:color w:val="000000"/>
                <w:sz w:val="21"/>
                <w:szCs w:val="21"/>
              </w:rPr>
              <w:t>数据库运维</w:t>
            </w:r>
          </w:p>
        </w:tc>
        <w:tc>
          <w:tcPr>
            <w:tcW w:w="6525" w:type="dxa"/>
            <w:tcBorders>
              <w:top w:val="single" w:color="auto" w:sz="4" w:space="0"/>
              <w:left w:val="single" w:color="000000" w:sz="4" w:space="0"/>
              <w:bottom w:val="single" w:color="auto" w:sz="4" w:space="0"/>
              <w:right w:val="single" w:color="000000" w:sz="4" w:space="0"/>
            </w:tcBorders>
            <w:noWrap w:val="0"/>
            <w:vAlign w:val="center"/>
          </w:tcPr>
          <w:p>
            <w:pPr>
              <w:pStyle w:val="14"/>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b/>
                <w:sz w:val="21"/>
                <w:szCs w:val="21"/>
              </w:rPr>
            </w:pPr>
            <w:r>
              <w:rPr>
                <w:rFonts w:hint="eastAsia" w:ascii="宋体" w:hAnsi="宋体" w:eastAsia="宋体" w:cs="宋体"/>
                <w:sz w:val="21"/>
                <w:szCs w:val="21"/>
              </w:rPr>
              <w:t>1</w:t>
            </w:r>
            <w:r>
              <w:rPr>
                <w:rFonts w:hint="eastAsia" w:ascii="宋体" w:hAnsi="宋体" w:eastAsia="宋体" w:cs="宋体"/>
                <w:b/>
                <w:sz w:val="21"/>
                <w:szCs w:val="21"/>
              </w:rPr>
              <w:t>、数据库管理</w:t>
            </w:r>
          </w:p>
          <w:p>
            <w:pPr>
              <w:pStyle w:val="14"/>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b/>
                <w:sz w:val="21"/>
                <w:szCs w:val="21"/>
              </w:rPr>
            </w:pPr>
            <w:r>
              <w:rPr>
                <w:rFonts w:hint="eastAsia" w:ascii="宋体" w:hAnsi="宋体" w:eastAsia="宋体" w:cs="宋体"/>
                <w:sz w:val="21"/>
                <w:szCs w:val="21"/>
              </w:rPr>
              <w:t>①数据类型：具有清理枯死松树除治数据、监管核查数据。</w:t>
            </w:r>
          </w:p>
          <w:p>
            <w:pPr>
              <w:pStyle w:val="14"/>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2 \* GB3</w:instrText>
            </w:r>
            <w:r>
              <w:rPr>
                <w:rFonts w:hint="eastAsia" w:ascii="宋体" w:hAnsi="宋体" w:eastAsia="宋体" w:cs="宋体"/>
                <w:sz w:val="21"/>
                <w:szCs w:val="21"/>
              </w:rPr>
              <w:fldChar w:fldCharType="separate"/>
            </w:r>
            <w:r>
              <w:rPr>
                <w:rFonts w:hint="eastAsia" w:ascii="宋体" w:hAnsi="宋体" w:eastAsia="宋体" w:cs="宋体"/>
                <w:sz w:val="21"/>
                <w:szCs w:val="21"/>
              </w:rPr>
              <w:t>②</w:t>
            </w:r>
            <w:r>
              <w:rPr>
                <w:rFonts w:hint="eastAsia" w:ascii="宋体" w:hAnsi="宋体" w:eastAsia="宋体" w:cs="宋体"/>
                <w:sz w:val="21"/>
                <w:szCs w:val="21"/>
              </w:rPr>
              <w:fldChar w:fldCharType="end"/>
            </w:r>
            <w:r>
              <w:rPr>
                <w:rFonts w:hint="eastAsia" w:ascii="宋体" w:hAnsi="宋体" w:eastAsia="宋体" w:cs="宋体"/>
                <w:sz w:val="21"/>
                <w:szCs w:val="21"/>
              </w:rPr>
              <w:t>支持按照APP采集或后台填报等多种方式进行数据分类管理。</w:t>
            </w:r>
          </w:p>
          <w:p>
            <w:pPr>
              <w:pStyle w:val="14"/>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3 \* GB3</w:instrText>
            </w:r>
            <w:r>
              <w:rPr>
                <w:rFonts w:hint="eastAsia" w:ascii="宋体" w:hAnsi="宋体" w:eastAsia="宋体" w:cs="宋体"/>
                <w:sz w:val="21"/>
                <w:szCs w:val="21"/>
              </w:rPr>
              <w:fldChar w:fldCharType="separate"/>
            </w:r>
            <w:r>
              <w:rPr>
                <w:rFonts w:hint="eastAsia" w:ascii="宋体" w:hAnsi="宋体" w:eastAsia="宋体" w:cs="宋体"/>
                <w:sz w:val="21"/>
                <w:szCs w:val="21"/>
              </w:rPr>
              <w:t>③</w:t>
            </w:r>
            <w:r>
              <w:rPr>
                <w:rFonts w:hint="eastAsia" w:ascii="宋体" w:hAnsi="宋体" w:eastAsia="宋体" w:cs="宋体"/>
                <w:sz w:val="21"/>
                <w:szCs w:val="21"/>
              </w:rPr>
              <w:fldChar w:fldCharType="end"/>
            </w:r>
            <w:r>
              <w:rPr>
                <w:rFonts w:hint="eastAsia" w:ascii="宋体" w:hAnsi="宋体" w:eastAsia="宋体" w:cs="宋体"/>
                <w:sz w:val="21"/>
                <w:szCs w:val="21"/>
              </w:rPr>
              <w:t>枯死松树明细：形成以小班为基础单位的枯死松树明细列表，支持查看枯死松树位置、施工人员、施工时间、清理现场照片、数量等信息。PC端支持通过小班列表模版和枯死松树详情列表模版进行数据统计上报。</w:t>
            </w:r>
          </w:p>
          <w:p>
            <w:pPr>
              <w:pStyle w:val="14"/>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④枯死松树清理所有采集数据实时上传，在手机无信号区域，现场采集的信息到有信号地方实现自动上传；所选位置、施工照片等信息不具备选择性,清理数量实时自动统计。</w:t>
            </w:r>
          </w:p>
          <w:p>
            <w:pPr>
              <w:pStyle w:val="14"/>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color w:val="auto"/>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5 \* GB3</w:instrText>
            </w:r>
            <w:r>
              <w:rPr>
                <w:rFonts w:hint="eastAsia" w:ascii="宋体" w:hAnsi="宋体" w:eastAsia="宋体" w:cs="宋体"/>
                <w:sz w:val="21"/>
                <w:szCs w:val="21"/>
              </w:rPr>
              <w:fldChar w:fldCharType="separate"/>
            </w:r>
            <w:r>
              <w:rPr>
                <w:rFonts w:hint="eastAsia" w:ascii="宋体" w:hAnsi="宋体" w:eastAsia="宋体" w:cs="宋体"/>
                <w:sz w:val="21"/>
                <w:szCs w:val="21"/>
              </w:rPr>
              <w:t>⑤</w:t>
            </w:r>
            <w:r>
              <w:rPr>
                <w:rFonts w:hint="eastAsia" w:ascii="宋体" w:hAnsi="宋体" w:eastAsia="宋体" w:cs="宋体"/>
                <w:sz w:val="21"/>
                <w:szCs w:val="21"/>
              </w:rPr>
              <w:fldChar w:fldCharType="end"/>
            </w:r>
            <w:r>
              <w:rPr>
                <w:rFonts w:hint="eastAsia" w:ascii="宋体" w:hAnsi="宋体" w:eastAsia="宋体" w:cs="宋体"/>
                <w:sz w:val="21"/>
                <w:szCs w:val="21"/>
              </w:rPr>
              <w:t>确保清理数据保密性及安全性，县、乡镇电脑管理终端帐号为数据库调用唯一</w:t>
            </w:r>
            <w:r>
              <w:rPr>
                <w:rFonts w:hint="eastAsia" w:ascii="宋体" w:hAnsi="宋体" w:eastAsia="宋体" w:cs="宋体"/>
                <w:color w:val="auto"/>
                <w:sz w:val="21"/>
                <w:szCs w:val="21"/>
              </w:rPr>
              <w:t>路径，并签订保密协议。</w:t>
            </w:r>
          </w:p>
          <w:p>
            <w:pPr>
              <w:pStyle w:val="14"/>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⑥后台人工处理：如故障无法自动上传，可以县级管理员唯一账号进行后台人工上传数据并标注上传方式。</w:t>
            </w:r>
          </w:p>
          <w:p>
            <w:pPr>
              <w:pStyle w:val="14"/>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1"/>
                <w:szCs w:val="21"/>
              </w:rPr>
            </w:pPr>
            <w:r>
              <w:rPr>
                <w:rFonts w:hint="eastAsia" w:ascii="宋体" w:hAnsi="宋体" w:eastAsia="宋体" w:cs="宋体"/>
                <w:color w:val="auto"/>
                <w:sz w:val="21"/>
                <w:szCs w:val="21"/>
              </w:rPr>
              <w:t>2、数据存储和数据库运维</w:t>
            </w:r>
          </w:p>
          <w:p>
            <w:pPr>
              <w:pStyle w:val="14"/>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新生采集数据延续存储期限为5年，5年内可筛选调取导出。</w:t>
            </w:r>
          </w:p>
        </w:tc>
        <w:tc>
          <w:tcPr>
            <w:tcW w:w="870" w:type="dxa"/>
            <w:tcBorders>
              <w:top w:val="single" w:color="auto" w:sz="4" w:space="0"/>
              <w:left w:val="single" w:color="000000" w:sz="4" w:space="0"/>
              <w:bottom w:val="single" w:color="auto" w:sz="4" w:space="0"/>
              <w:right w:val="single" w:color="000000" w:sz="4" w:space="0"/>
            </w:tcBorders>
            <w:noWrap w:val="0"/>
            <w:vAlign w:val="center"/>
          </w:tcPr>
          <w:p>
            <w:pPr>
              <w:pStyle w:val="11"/>
              <w:keepNext w:val="0"/>
              <w:keepLines w:val="0"/>
              <w:pageBreakBefore w:val="0"/>
              <w:kinsoku/>
              <w:wordWrap/>
              <w:overflowPunct/>
              <w:topLinePunct w:val="0"/>
              <w:autoSpaceDE/>
              <w:autoSpaceDN/>
              <w:bidi w:val="0"/>
              <w:adjustRightInd/>
              <w:snapToGrid/>
              <w:spacing w:line="320" w:lineRule="exact"/>
              <w:ind w:firstLine="0" w:firstLineChars="0"/>
              <w:jc w:val="center"/>
              <w:rPr>
                <w:rStyle w:val="12"/>
                <w:rFonts w:hint="eastAsia" w:ascii="宋体" w:hAnsi="宋体" w:eastAsia="宋体" w:cs="宋体"/>
                <w:bCs/>
                <w:color w:val="000000"/>
                <w:sz w:val="21"/>
                <w:szCs w:val="21"/>
              </w:rPr>
            </w:pPr>
            <w:r>
              <w:rPr>
                <w:rStyle w:val="12"/>
                <w:rFonts w:hint="eastAsia" w:ascii="宋体" w:hAnsi="宋体" w:eastAsia="宋体" w:cs="宋体"/>
                <w:bCs/>
                <w:color w:val="000000"/>
                <w:sz w:val="21"/>
                <w:szCs w:val="21"/>
              </w:rPr>
              <w:t>5</w:t>
            </w:r>
          </w:p>
        </w:tc>
        <w:tc>
          <w:tcPr>
            <w:tcW w:w="627" w:type="dxa"/>
            <w:tcBorders>
              <w:top w:val="single" w:color="auto" w:sz="4" w:space="0"/>
              <w:left w:val="single" w:color="000000" w:sz="4" w:space="0"/>
              <w:bottom w:val="single" w:color="auto" w:sz="4" w:space="0"/>
              <w:right w:val="single" w:color="000000" w:sz="4" w:space="0"/>
            </w:tcBorders>
            <w:noWrap w:val="0"/>
            <w:vAlign w:val="center"/>
          </w:tcPr>
          <w:p>
            <w:pPr>
              <w:pStyle w:val="11"/>
              <w:keepNext w:val="0"/>
              <w:keepLines w:val="0"/>
              <w:pageBreakBefore w:val="0"/>
              <w:kinsoku/>
              <w:wordWrap/>
              <w:overflowPunct/>
              <w:topLinePunct w:val="0"/>
              <w:autoSpaceDE/>
              <w:autoSpaceDN/>
              <w:bidi w:val="0"/>
              <w:adjustRightInd/>
              <w:snapToGrid/>
              <w:spacing w:line="320" w:lineRule="exact"/>
              <w:ind w:firstLine="0" w:firstLineChars="0"/>
              <w:jc w:val="center"/>
              <w:rPr>
                <w:rStyle w:val="12"/>
                <w:rFonts w:hint="eastAsia" w:ascii="宋体" w:hAnsi="宋体" w:eastAsia="宋体" w:cs="宋体"/>
                <w:bCs/>
                <w:color w:val="000000"/>
                <w:sz w:val="21"/>
                <w:szCs w:val="21"/>
              </w:rPr>
            </w:pPr>
            <w:r>
              <w:rPr>
                <w:rStyle w:val="12"/>
                <w:rFonts w:hint="eastAsia" w:ascii="宋体" w:hAnsi="宋体" w:eastAsia="宋体" w:cs="宋体"/>
                <w:bCs/>
                <w:color w:val="000000"/>
                <w:sz w:val="21"/>
                <w:szCs w:val="21"/>
              </w:rPr>
              <w:t>年</w:t>
            </w:r>
          </w:p>
        </w:tc>
      </w:tr>
    </w:tbl>
    <w:p>
      <w:pPr>
        <w:jc w:val="right"/>
        <w:rPr>
          <w:rFonts w:hint="eastAsia"/>
          <w:sz w:val="28"/>
          <w:szCs w:val="24"/>
          <w:lang w:eastAsia="zh-CN"/>
        </w:rPr>
      </w:pPr>
    </w:p>
    <w:p>
      <w:pPr>
        <w:jc w:val="right"/>
        <w:rPr>
          <w:rFonts w:hint="eastAsia"/>
          <w:sz w:val="28"/>
          <w:szCs w:val="24"/>
          <w:lang w:eastAsia="zh-CN"/>
        </w:rPr>
      </w:pPr>
      <w:r>
        <w:rPr>
          <w:rFonts w:hint="eastAsia"/>
          <w:sz w:val="28"/>
          <w:szCs w:val="24"/>
          <w:lang w:eastAsia="zh-CN"/>
        </w:rPr>
        <w:t>霍山县林业局</w:t>
      </w:r>
    </w:p>
    <w:p>
      <w:pPr>
        <w:pStyle w:val="2"/>
        <w:jc w:val="right"/>
        <w:rPr>
          <w:rFonts w:hint="eastAsia" w:ascii="宋体" w:hAnsi="宋体" w:eastAsia="宋体" w:cs="宋体"/>
          <w:kern w:val="2"/>
          <w:sz w:val="28"/>
          <w:szCs w:val="24"/>
          <w:lang w:val="en-US" w:eastAsia="zh-CN" w:bidi="ar-SA"/>
        </w:rPr>
      </w:pPr>
      <w:r>
        <w:rPr>
          <w:rFonts w:hint="eastAsia" w:ascii="宋体" w:hAnsi="宋体" w:eastAsia="宋体" w:cs="宋体"/>
          <w:kern w:val="2"/>
          <w:sz w:val="28"/>
          <w:szCs w:val="24"/>
          <w:lang w:val="en-US" w:eastAsia="zh-CN" w:bidi="ar-SA"/>
        </w:rPr>
        <w:t>2022年7月4日</w:t>
      </w:r>
    </w:p>
    <w:p>
      <w:pPr>
        <w:pStyle w:val="2"/>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2A225F"/>
    <w:multiLevelType w:val="singleLevel"/>
    <w:tmpl w:val="2A2A225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MWI5YmJmY2Y0NTYxYzI5ODYzNmM5YTg1ZWMyYWIifQ=="/>
  </w:docVars>
  <w:rsids>
    <w:rsidRoot w:val="1BE415A1"/>
    <w:rsid w:val="1BE41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First Indent"/>
    <w:basedOn w:val="3"/>
    <w:next w:val="6"/>
    <w:unhideWhenUsed/>
    <w:qFormat/>
    <w:uiPriority w:val="99"/>
    <w:pPr>
      <w:spacing w:line="400" w:lineRule="atLeast"/>
      <w:ind w:firstLine="426"/>
    </w:pPr>
    <w:rPr>
      <w:rFonts w:ascii="Times New Roman" w:hAnsi="Times New Roman"/>
      <w:sz w:val="24"/>
      <w:szCs w:val="20"/>
    </w:rPr>
  </w:style>
  <w:style w:type="paragraph" w:styleId="3">
    <w:name w:val="Body Text"/>
    <w:basedOn w:val="1"/>
    <w:next w:val="4"/>
    <w:qFormat/>
    <w:uiPriority w:val="0"/>
    <w:pPr>
      <w:spacing w:after="120" w:afterLines="0"/>
    </w:pPr>
  </w:style>
  <w:style w:type="paragraph" w:customStyle="1" w:styleId="4">
    <w:name w:val="Default"/>
    <w:next w:val="5"/>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5">
    <w:name w:val="表格文字"/>
    <w:basedOn w:val="1"/>
    <w:qFormat/>
    <w:uiPriority w:val="0"/>
    <w:pPr>
      <w:spacing w:line="360" w:lineRule="exact"/>
      <w:jc w:val="center"/>
    </w:pPr>
    <w:rPr>
      <w:szCs w:val="20"/>
    </w:rPr>
  </w:style>
  <w:style w:type="paragraph" w:styleId="6">
    <w:name w:val="toc 6"/>
    <w:basedOn w:val="1"/>
    <w:next w:val="1"/>
    <w:qFormat/>
    <w:uiPriority w:val="0"/>
    <w:pPr>
      <w:ind w:left="2100" w:leftChars="1000"/>
    </w:pPr>
  </w:style>
  <w:style w:type="paragraph" w:styleId="7">
    <w:name w:val="Body Text Indent"/>
    <w:basedOn w:val="1"/>
    <w:next w:val="8"/>
    <w:qFormat/>
    <w:uiPriority w:val="0"/>
    <w:pPr>
      <w:ind w:firstLine="645"/>
    </w:pPr>
    <w:rPr>
      <w:rFonts w:ascii="楷体_GB2312" w:hAnsi="Times New Roman" w:eastAsia="楷体_GB2312" w:cs="Times New Roman"/>
      <w:sz w:val="32"/>
    </w:rPr>
  </w:style>
  <w:style w:type="paragraph" w:styleId="8">
    <w:name w:val="envelope return"/>
    <w:basedOn w:val="1"/>
    <w:qFormat/>
    <w:uiPriority w:val="0"/>
    <w:pPr>
      <w:snapToGrid w:val="0"/>
    </w:pPr>
    <w:rPr>
      <w:rFonts w:ascii="Arial" w:hAnsi="Arial"/>
    </w:rPr>
  </w:style>
  <w:style w:type="paragraph" w:customStyle="1" w:styleId="11">
    <w:name w:val="UserStyle_1"/>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customStyle="1" w:styleId="12">
    <w:name w:val="NormalCharacter"/>
    <w:semiHidden/>
    <w:qFormat/>
    <w:uiPriority w:val="0"/>
  </w:style>
  <w:style w:type="paragraph" w:styleId="13">
    <w:name w:val="List Paragraph"/>
    <w:basedOn w:val="1"/>
    <w:qFormat/>
    <w:uiPriority w:val="34"/>
    <w:pPr>
      <w:widowControl w:val="0"/>
      <w:ind w:firstLine="420" w:firstLineChars="200"/>
      <w:jc w:val="both"/>
    </w:pPr>
    <w:rPr>
      <w:rFonts w:ascii="Times New Roman" w:hAnsi="Times New Roman" w:eastAsia="宋体" w:cs="Times New Roman"/>
      <w:kern w:val="2"/>
      <w:sz w:val="21"/>
      <w:szCs w:val="22"/>
      <w:lang w:val="en-US" w:eastAsia="zh-CN" w:bidi="ar-SA"/>
    </w:rPr>
  </w:style>
  <w:style w:type="paragraph" w:styleId="14">
    <w:name w:val="No Spacing"/>
    <w:qFormat/>
    <w:uiPriority w:val="1"/>
    <w:pPr>
      <w:widowControl w:val="0"/>
      <w:jc w:val="both"/>
    </w:pPr>
    <w:rPr>
      <w:rFonts w:ascii="Calibri" w:hAnsi="Calibri" w:eastAsia="宋体" w:cs="Times New Roman"/>
      <w:kern w:val="2"/>
      <w:sz w:val="24"/>
      <w:szCs w:val="24"/>
      <w:lang w:val="en-US" w:eastAsia="zh-CN" w:bidi="ar-SA"/>
    </w:rPr>
  </w:style>
  <w:style w:type="paragraph" w:customStyle="1" w:styleId="15">
    <w:name w:val="模板普通正文"/>
    <w:basedOn w:val="7"/>
    <w:qFormat/>
    <w:uiPriority w:val="0"/>
    <w:pPr>
      <w:spacing w:beforeLines="50" w:after="10"/>
      <w:ind w:left="0" w:leftChars="0" w:firstLine="490" w:firstLineChars="175"/>
      <w:jc w:val="left"/>
    </w:pPr>
    <w:rPr>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Office_11.1.0.11753_F1E327BC-269C-435d-A152-05C5408002CA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2022-07-06T00:54:00Z</dcterms:created>
  <dc:creator>RRong✮。z</dc:creator>
  <cp:lastModifiedBy>RRong✮。z</cp:lastModifiedBy>
  <dcterms:modified xsi:type="dcterms:W3CDTF">2022-07-06T00:58:25Z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1155B91A98AC467F9111CD02768EA893</vt:lpwstr>
  </property>
</Properties>
</file>