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Lines="100" w:afterLines="50"/>
        <w:ind w:right="267" w:rightChars="127"/>
        <w:jc w:val="center"/>
        <w:rPr>
          <w:rFonts w:ascii="宋体" w:hAnsi="宋体"/>
          <w:b/>
          <w:bCs/>
          <w:sz w:val="15"/>
          <w:szCs w:val="15"/>
        </w:rPr>
      </w:pPr>
    </w:p>
    <w:p>
      <w:pPr>
        <w:tabs>
          <w:tab w:val="left" w:pos="315"/>
          <w:tab w:val="left" w:pos="8820"/>
        </w:tabs>
        <w:spacing w:beforeLines="100" w:afterLines="50"/>
        <w:ind w:right="267" w:rightChars="127"/>
        <w:jc w:val="center"/>
        <w:rPr>
          <w:rFonts w:ascii="宋体" w:hAnsi="宋体"/>
          <w:b/>
          <w:bCs/>
          <w:sz w:val="44"/>
          <w:szCs w:val="44"/>
        </w:rPr>
      </w:pPr>
      <w:r>
        <w:rPr>
          <w:rFonts w:hint="eastAsia" w:ascii="宋体" w:hAnsi="宋体"/>
          <w:b/>
          <w:bCs/>
          <w:sz w:val="44"/>
          <w:szCs w:val="44"/>
        </w:rPr>
        <w:t>霍山县2023年小型病险水库除险加固</w:t>
      </w:r>
    </w:p>
    <w:p>
      <w:pPr>
        <w:tabs>
          <w:tab w:val="left" w:pos="315"/>
          <w:tab w:val="left" w:pos="8820"/>
        </w:tabs>
        <w:spacing w:beforeLines="100" w:afterLines="50"/>
        <w:ind w:right="267" w:rightChars="127"/>
        <w:jc w:val="center"/>
        <w:rPr>
          <w:rFonts w:ascii="宋体" w:hAnsi="宋体"/>
          <w:b/>
          <w:bCs/>
          <w:sz w:val="44"/>
          <w:szCs w:val="44"/>
        </w:rPr>
      </w:pPr>
      <w:r>
        <w:rPr>
          <w:rFonts w:hint="eastAsia" w:ascii="宋体" w:hAnsi="宋体"/>
          <w:b/>
          <w:bCs/>
          <w:sz w:val="44"/>
          <w:szCs w:val="44"/>
        </w:rPr>
        <w:t>工程监理</w:t>
      </w:r>
    </w:p>
    <w:p>
      <w:pPr>
        <w:pStyle w:val="35"/>
        <w:jc w:val="center"/>
        <w:rPr>
          <w:rFonts w:ascii="宋体" w:hAnsi="宋体"/>
          <w:b/>
          <w:bCs/>
          <w:sz w:val="48"/>
          <w:szCs w:val="48"/>
        </w:rPr>
      </w:pPr>
    </w:p>
    <w:p>
      <w:pPr>
        <w:pStyle w:val="35"/>
        <w:jc w:val="center"/>
        <w:rPr>
          <w:rFonts w:ascii="宋体" w:hAnsi="宋体"/>
          <w:b/>
          <w:bCs/>
          <w:sz w:val="48"/>
          <w:szCs w:val="48"/>
        </w:rPr>
      </w:pPr>
      <w:r>
        <w:rPr>
          <w:rFonts w:hint="eastAsia" w:ascii="宋体" w:hAnsi="宋体"/>
          <w:b/>
          <w:bCs/>
          <w:sz w:val="48"/>
          <w:szCs w:val="48"/>
        </w:rPr>
        <w:t>竞</w:t>
      </w:r>
    </w:p>
    <w:p>
      <w:pPr>
        <w:pStyle w:val="35"/>
        <w:jc w:val="center"/>
        <w:rPr>
          <w:rFonts w:ascii="宋体" w:hAnsi="宋体"/>
          <w:b/>
          <w:bCs/>
          <w:sz w:val="48"/>
          <w:szCs w:val="48"/>
        </w:rPr>
      </w:pPr>
      <w:r>
        <w:rPr>
          <w:rFonts w:hint="eastAsia" w:ascii="宋体" w:hAnsi="宋体"/>
          <w:b/>
          <w:bCs/>
          <w:sz w:val="48"/>
          <w:szCs w:val="48"/>
        </w:rPr>
        <w:t>争</w:t>
      </w:r>
    </w:p>
    <w:p>
      <w:pPr>
        <w:pStyle w:val="35"/>
        <w:jc w:val="center"/>
        <w:rPr>
          <w:rFonts w:ascii="宋体" w:hAnsi="宋体"/>
          <w:b/>
          <w:bCs/>
          <w:sz w:val="48"/>
          <w:szCs w:val="48"/>
        </w:rPr>
      </w:pPr>
      <w:r>
        <w:rPr>
          <w:rFonts w:hint="eastAsia" w:ascii="宋体" w:hAnsi="宋体"/>
          <w:b/>
          <w:bCs/>
          <w:sz w:val="48"/>
          <w:szCs w:val="48"/>
        </w:rPr>
        <w:t>性</w:t>
      </w:r>
    </w:p>
    <w:p>
      <w:pPr>
        <w:pStyle w:val="35"/>
        <w:jc w:val="center"/>
        <w:rPr>
          <w:rFonts w:ascii="宋体" w:hAnsi="宋体"/>
          <w:b/>
          <w:bCs/>
          <w:sz w:val="48"/>
          <w:szCs w:val="48"/>
        </w:rPr>
      </w:pPr>
      <w:r>
        <w:rPr>
          <w:rFonts w:hint="eastAsia" w:ascii="宋体" w:hAnsi="宋体"/>
          <w:b/>
          <w:bCs/>
          <w:sz w:val="48"/>
          <w:szCs w:val="48"/>
        </w:rPr>
        <w:t>磋</w:t>
      </w:r>
    </w:p>
    <w:p>
      <w:pPr>
        <w:pStyle w:val="35"/>
        <w:jc w:val="center"/>
        <w:rPr>
          <w:rFonts w:ascii="宋体" w:hAnsi="宋体"/>
          <w:b/>
          <w:bCs/>
          <w:sz w:val="48"/>
          <w:szCs w:val="48"/>
        </w:rPr>
      </w:pPr>
      <w:r>
        <w:rPr>
          <w:rFonts w:hint="eastAsia" w:ascii="宋体" w:hAnsi="宋体"/>
          <w:b/>
          <w:bCs/>
          <w:sz w:val="48"/>
          <w:szCs w:val="48"/>
        </w:rPr>
        <w:t>商</w:t>
      </w:r>
    </w:p>
    <w:p>
      <w:pPr>
        <w:pStyle w:val="35"/>
        <w:jc w:val="center"/>
        <w:rPr>
          <w:rFonts w:ascii="宋体" w:hAnsi="宋体"/>
          <w:b/>
          <w:bCs/>
          <w:sz w:val="48"/>
          <w:szCs w:val="48"/>
        </w:rPr>
      </w:pPr>
      <w:r>
        <w:rPr>
          <w:rFonts w:hint="eastAsia" w:ascii="宋体" w:hAnsi="宋体"/>
          <w:b/>
          <w:bCs/>
          <w:sz w:val="48"/>
          <w:szCs w:val="48"/>
        </w:rPr>
        <w:t>文</w:t>
      </w:r>
    </w:p>
    <w:p>
      <w:pPr>
        <w:pStyle w:val="35"/>
        <w:jc w:val="center"/>
      </w:pPr>
      <w:r>
        <w:rPr>
          <w:rFonts w:hint="eastAsia" w:ascii="宋体" w:hAnsi="宋体"/>
          <w:b/>
          <w:bCs/>
          <w:sz w:val="48"/>
          <w:szCs w:val="48"/>
        </w:rPr>
        <w:t>件</w:t>
      </w:r>
    </w:p>
    <w:p>
      <w:pPr>
        <w:tabs>
          <w:tab w:val="left" w:pos="2410"/>
        </w:tabs>
        <w:autoSpaceDE w:val="0"/>
        <w:autoSpaceDN w:val="0"/>
        <w:adjustRightInd w:val="0"/>
        <w:snapToGrid w:val="0"/>
        <w:spacing w:line="600" w:lineRule="exact"/>
        <w:ind w:left="1050" w:leftChars="500" w:firstLine="909" w:firstLineChars="300"/>
        <w:jc w:val="center"/>
        <w:rPr>
          <w:rFonts w:ascii="宋体" w:hAnsi="DotumChe" w:cs="宋体"/>
          <w:b/>
          <w:spacing w:val="11"/>
          <w:kern w:val="0"/>
          <w:sz w:val="28"/>
          <w:szCs w:val="28"/>
        </w:rPr>
      </w:pPr>
    </w:p>
    <w:p>
      <w:pPr>
        <w:tabs>
          <w:tab w:val="left" w:pos="2410"/>
        </w:tabs>
        <w:autoSpaceDE w:val="0"/>
        <w:autoSpaceDN w:val="0"/>
        <w:adjustRightInd w:val="0"/>
        <w:snapToGrid w:val="0"/>
        <w:spacing w:line="600" w:lineRule="exact"/>
        <w:jc w:val="center"/>
        <w:rPr>
          <w:rFonts w:hint="eastAsia" w:ascii="宋体" w:hAnsi="DotumChe" w:eastAsia="宋体" w:cs="宋体"/>
          <w:b/>
          <w:spacing w:val="11"/>
          <w:kern w:val="0"/>
          <w:sz w:val="28"/>
          <w:szCs w:val="28"/>
          <w:lang w:eastAsia="zh-CN"/>
        </w:rPr>
      </w:pPr>
      <w:r>
        <w:rPr>
          <w:rFonts w:hint="eastAsia" w:ascii="宋体" w:hAnsi="DotumChe" w:cs="宋体"/>
          <w:b/>
          <w:spacing w:val="11"/>
          <w:kern w:val="0"/>
          <w:sz w:val="28"/>
          <w:szCs w:val="28"/>
        </w:rPr>
        <w:t>项目编号：</w:t>
      </w:r>
      <w:r>
        <w:rPr>
          <w:rFonts w:hint="eastAsia" w:ascii="宋体" w:hAnsi="DotumChe" w:cs="宋体"/>
          <w:bCs/>
          <w:spacing w:val="11"/>
          <w:kern w:val="0"/>
          <w:sz w:val="28"/>
          <w:szCs w:val="28"/>
          <w:lang w:eastAsia="zh-CN"/>
        </w:rPr>
        <w:t>AHHYZX-2023006</w:t>
      </w:r>
    </w:p>
    <w:p>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pPr>
        <w:pStyle w:val="2"/>
        <w:rPr>
          <w:rFonts w:ascii="宋体" w:hAnsi="DotumChe" w:cs="宋体"/>
          <w:b/>
          <w:spacing w:val="20"/>
          <w:kern w:val="0"/>
          <w:sz w:val="32"/>
          <w:szCs w:val="32"/>
        </w:rPr>
      </w:pPr>
    </w:p>
    <w:p>
      <w:pPr>
        <w:tabs>
          <w:tab w:val="left" w:pos="2410"/>
        </w:tabs>
        <w:autoSpaceDE w:val="0"/>
        <w:autoSpaceDN w:val="0"/>
        <w:adjustRightInd w:val="0"/>
        <w:snapToGrid w:val="0"/>
        <w:spacing w:line="600" w:lineRule="exact"/>
        <w:ind w:left="1050" w:leftChars="500" w:firstLine="606" w:firstLineChars="200"/>
        <w:jc w:val="left"/>
        <w:rPr>
          <w:rFonts w:ascii="宋体" w:hAnsi="DotumChe" w:cs="宋体"/>
          <w:b/>
          <w:spacing w:val="11"/>
          <w:kern w:val="0"/>
          <w:sz w:val="28"/>
          <w:szCs w:val="28"/>
        </w:rPr>
      </w:pPr>
      <w:r>
        <w:rPr>
          <w:rFonts w:hint="eastAsia" w:ascii="宋体" w:hAnsi="DotumChe" w:cs="宋体"/>
          <w:b/>
          <w:spacing w:val="11"/>
          <w:kern w:val="0"/>
          <w:sz w:val="28"/>
          <w:szCs w:val="28"/>
        </w:rPr>
        <w:t>采 购 人：霍山县水利工程项目建设中心</w:t>
      </w:r>
    </w:p>
    <w:p>
      <w:pPr>
        <w:tabs>
          <w:tab w:val="left" w:pos="2410"/>
        </w:tabs>
        <w:autoSpaceDE w:val="0"/>
        <w:autoSpaceDN w:val="0"/>
        <w:adjustRightInd w:val="0"/>
        <w:snapToGrid w:val="0"/>
        <w:spacing w:line="600" w:lineRule="exact"/>
        <w:ind w:left="1050" w:leftChars="500" w:firstLine="2122" w:firstLineChars="700"/>
        <w:jc w:val="left"/>
        <w:rPr>
          <w:rFonts w:ascii="宋体" w:hAnsi="DotumChe" w:cs="宋体"/>
          <w:b/>
          <w:spacing w:val="11"/>
          <w:kern w:val="0"/>
          <w:sz w:val="28"/>
          <w:szCs w:val="28"/>
        </w:rPr>
      </w:pPr>
      <w:r>
        <w:rPr>
          <w:rFonts w:hint="eastAsia" w:ascii="宋体" w:hAnsi="DotumChe" w:cs="宋体"/>
          <w:b/>
          <w:spacing w:val="11"/>
          <w:kern w:val="0"/>
          <w:sz w:val="28"/>
          <w:szCs w:val="28"/>
        </w:rPr>
        <w:t>安徽大别山水利投资有限公司</w:t>
      </w:r>
    </w:p>
    <w:p>
      <w:pPr>
        <w:tabs>
          <w:tab w:val="left" w:pos="2410"/>
        </w:tabs>
        <w:autoSpaceDE w:val="0"/>
        <w:autoSpaceDN w:val="0"/>
        <w:adjustRightInd w:val="0"/>
        <w:snapToGrid w:val="0"/>
        <w:spacing w:line="600" w:lineRule="exact"/>
        <w:ind w:left="1050" w:leftChars="500" w:firstLine="606" w:firstLineChars="200"/>
        <w:jc w:val="left"/>
        <w:rPr>
          <w:rFonts w:ascii="宋体" w:hAnsi="DotumChe" w:cs="宋体"/>
          <w:b/>
          <w:spacing w:val="11"/>
          <w:kern w:val="0"/>
          <w:sz w:val="28"/>
          <w:szCs w:val="28"/>
        </w:rPr>
      </w:pPr>
      <w:r>
        <w:rPr>
          <w:rFonts w:hint="eastAsia" w:ascii="宋体" w:hAnsi="DotumChe" w:cs="宋体"/>
          <w:b/>
          <w:spacing w:val="11"/>
          <w:kern w:val="0"/>
          <w:sz w:val="28"/>
          <w:szCs w:val="28"/>
        </w:rPr>
        <w:t>代理机构：安徽衡宇工程咨询有限公司</w:t>
      </w:r>
    </w:p>
    <w:p>
      <w:pPr>
        <w:tabs>
          <w:tab w:val="left" w:pos="2410"/>
        </w:tabs>
        <w:autoSpaceDE w:val="0"/>
        <w:autoSpaceDN w:val="0"/>
        <w:adjustRightInd w:val="0"/>
        <w:snapToGrid w:val="0"/>
        <w:spacing w:line="600" w:lineRule="exact"/>
        <w:ind w:left="1050" w:leftChars="500" w:firstLine="606" w:firstLineChars="200"/>
        <w:jc w:val="left"/>
        <w:rPr>
          <w:rFonts w:ascii="宋体" w:hAnsi="DotumChe" w:cs="宋体"/>
          <w:b/>
          <w:spacing w:val="11"/>
          <w:kern w:val="0"/>
          <w:sz w:val="28"/>
          <w:szCs w:val="28"/>
        </w:rPr>
      </w:pPr>
      <w:r>
        <w:rPr>
          <w:rFonts w:hint="eastAsia" w:ascii="宋体" w:hAnsi="DotumChe" w:cs="宋体"/>
          <w:b/>
          <w:spacing w:val="11"/>
          <w:kern w:val="0"/>
          <w:sz w:val="28"/>
          <w:szCs w:val="28"/>
        </w:rPr>
        <w:t>采购时间：2023</w:t>
      </w:r>
      <w:r>
        <w:rPr>
          <w:rFonts w:hint="eastAsia" w:ascii="宋体" w:hAnsi="DotumChe" w:cs="宋体"/>
          <w:b/>
          <w:spacing w:val="11"/>
          <w:kern w:val="0"/>
          <w:sz w:val="28"/>
          <w:szCs w:val="28"/>
          <w:lang w:val="en-US" w:eastAsia="zh-CN"/>
        </w:rPr>
        <w:t xml:space="preserve"> </w:t>
      </w:r>
      <w:r>
        <w:rPr>
          <w:rFonts w:hint="eastAsia" w:ascii="宋体" w:hAnsi="DotumChe" w:cs="宋体"/>
          <w:b/>
          <w:spacing w:val="11"/>
          <w:kern w:val="0"/>
          <w:sz w:val="28"/>
          <w:szCs w:val="28"/>
        </w:rPr>
        <w:t>年 3 月</w:t>
      </w:r>
    </w:p>
    <w:p>
      <w:pPr>
        <w:spacing w:line="360" w:lineRule="auto"/>
        <w:rPr>
          <w:sz w:val="32"/>
          <w:szCs w:val="32"/>
        </w:rPr>
      </w:pPr>
    </w:p>
    <w:p>
      <w:pPr>
        <w:ind w:right="808" w:rightChars="385"/>
        <w:jc w:val="center"/>
        <w:rPr>
          <w:rFonts w:ascii="华文中宋" w:hAnsi="华文中宋" w:eastAsia="华文中宋" w:cs="华文中宋"/>
          <w:bCs/>
          <w:sz w:val="36"/>
          <w:szCs w:val="36"/>
        </w:rPr>
      </w:pPr>
      <w:bookmarkStart w:id="0" w:name="_Toc1863"/>
      <w:bookmarkStart w:id="1" w:name="_Toc30186"/>
      <w:bookmarkStart w:id="2" w:name="_Toc216158623"/>
      <w:bookmarkStart w:id="3" w:name="_Toc363199264"/>
      <w:r>
        <w:rPr>
          <w:rFonts w:hint="eastAsia" w:ascii="华文中宋" w:hAnsi="华文中宋" w:eastAsia="华文中宋" w:cs="华文中宋"/>
          <w:bCs/>
          <w:sz w:val="36"/>
          <w:szCs w:val="36"/>
        </w:rPr>
        <w:t>霍山县2023年小型病险水库除险加固工程监理</w:t>
      </w:r>
    </w:p>
    <w:p>
      <w:pPr>
        <w:jc w:val="center"/>
        <w:rPr>
          <w:rFonts w:ascii="华文中宋" w:hAnsi="华文中宋" w:eastAsia="华文中宋" w:cs="华文中宋"/>
          <w:bCs/>
          <w:sz w:val="36"/>
          <w:szCs w:val="36"/>
        </w:rPr>
      </w:pPr>
      <w:r>
        <w:rPr>
          <w:rFonts w:hint="eastAsia" w:ascii="华文中宋" w:hAnsi="华文中宋" w:eastAsia="华文中宋" w:cs="华文中宋"/>
          <w:bCs/>
          <w:sz w:val="36"/>
          <w:szCs w:val="36"/>
        </w:rPr>
        <w:t>竞争性磋商采购公告</w:t>
      </w:r>
      <w:bookmarkEnd w:id="0"/>
      <w:bookmarkEnd w:id="1"/>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宋体" w:hAnsi="宋体" w:cs="宋体"/>
          <w:sz w:val="24"/>
          <w:szCs w:val="24"/>
        </w:rPr>
      </w:pPr>
      <w:r>
        <w:rPr>
          <w:rFonts w:hint="eastAsia" w:ascii="宋体" w:hAnsi="宋体" w:cs="宋体"/>
          <w:sz w:val="24"/>
          <w:szCs w:val="24"/>
        </w:rPr>
        <w:t>项目概况：</w:t>
      </w:r>
      <w:r>
        <w:rPr>
          <w:rFonts w:hint="eastAsia" w:ascii="宋体" w:hAnsi="宋体" w:cs="宋体"/>
          <w:sz w:val="24"/>
          <w:szCs w:val="24"/>
          <w:u w:val="single"/>
        </w:rPr>
        <w:t>霍山县2023年小型病险水库除险加固工程监理（</w:t>
      </w:r>
      <w:r>
        <w:rPr>
          <w:rFonts w:hint="eastAsia" w:ascii="宋体" w:hAnsi="宋体" w:cs="宋体"/>
          <w:sz w:val="24"/>
          <w:szCs w:val="24"/>
          <w:u w:val="single"/>
          <w:lang w:eastAsia="zh-CN"/>
        </w:rPr>
        <w:t>AHHYZX-2023006</w:t>
      </w:r>
      <w:r>
        <w:rPr>
          <w:rFonts w:hint="eastAsia" w:ascii="宋体" w:hAnsi="宋体" w:cs="宋体"/>
          <w:sz w:val="24"/>
          <w:szCs w:val="24"/>
          <w:u w:val="single"/>
        </w:rPr>
        <w:t>）</w:t>
      </w:r>
      <w:r>
        <w:rPr>
          <w:rFonts w:hint="eastAsia" w:ascii="宋体" w:hAnsi="宋体" w:cs="宋体"/>
          <w:sz w:val="24"/>
          <w:szCs w:val="24"/>
        </w:rPr>
        <w:t>的潜在供应商应在六安市公共资源交易电子服务系统</w:t>
      </w:r>
      <w:r>
        <w:rPr>
          <w:rFonts w:hint="eastAsia" w:ascii="宋体" w:hAnsi="宋体" w:cs="宋体"/>
          <w:kern w:val="0"/>
          <w:sz w:val="24"/>
          <w:szCs w:val="24"/>
        </w:rPr>
        <w:t>（http://ggzy.luan.gov.cn）</w:t>
      </w:r>
      <w:r>
        <w:rPr>
          <w:rFonts w:hint="eastAsia" w:ascii="宋体" w:hAnsi="宋体" w:cs="宋体"/>
          <w:kern w:val="0"/>
          <w:sz w:val="24"/>
          <w:szCs w:val="24"/>
          <w:lang w:eastAsia="zh-CN"/>
        </w:rPr>
        <w:t>、</w:t>
      </w:r>
      <w:r>
        <w:rPr>
          <w:rFonts w:hint="eastAsia" w:ascii="宋体" w:hAnsi="宋体" w:cs="宋体"/>
          <w:kern w:val="0"/>
          <w:sz w:val="24"/>
          <w:szCs w:val="24"/>
        </w:rPr>
        <w:t>安徽衡宇工程咨询有限公司网（http://www.ahhygczx.com）</w:t>
      </w:r>
      <w:r>
        <w:rPr>
          <w:rFonts w:hint="eastAsia" w:ascii="宋体" w:hAnsi="宋体" w:cs="宋体"/>
          <w:sz w:val="24"/>
          <w:szCs w:val="24"/>
        </w:rPr>
        <w:t>获取采购文件,并于</w:t>
      </w:r>
      <w:r>
        <w:rPr>
          <w:rFonts w:hint="eastAsia" w:ascii="宋体" w:hAnsi="宋体" w:cs="宋体"/>
          <w:color w:val="auto"/>
          <w:sz w:val="24"/>
          <w:szCs w:val="24"/>
        </w:rPr>
        <w:t>2023年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03</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24 </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9</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点</w:t>
      </w:r>
      <w:r>
        <w:rPr>
          <w:rFonts w:hint="eastAsia" w:ascii="宋体" w:hAnsi="宋体" w:cs="宋体"/>
          <w:color w:val="auto"/>
          <w:sz w:val="24"/>
          <w:szCs w:val="24"/>
          <w:u w:val="single"/>
          <w:lang w:val="en-US" w:eastAsia="zh-CN"/>
        </w:rPr>
        <w:t xml:space="preserve"> 3</w:t>
      </w:r>
      <w:r>
        <w:rPr>
          <w:rFonts w:hint="eastAsia" w:ascii="宋体" w:hAnsi="宋体" w:cs="宋体"/>
          <w:color w:val="auto"/>
          <w:sz w:val="24"/>
          <w:szCs w:val="24"/>
          <w:u w:val="single"/>
        </w:rPr>
        <w:t>0</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分</w:t>
      </w:r>
      <w:r>
        <w:rPr>
          <w:rFonts w:hint="eastAsia" w:ascii="宋体" w:hAnsi="宋体" w:cs="宋体"/>
          <w:sz w:val="24"/>
          <w:szCs w:val="24"/>
        </w:rPr>
        <w:t>（北京时间）前提交响应文件。</w:t>
      </w:r>
    </w:p>
    <w:p>
      <w:pPr>
        <w:pStyle w:val="4"/>
        <w:pageBreakBefore w:val="0"/>
        <w:wordWrap/>
        <w:overflowPunct/>
        <w:topLinePunct w:val="0"/>
        <w:bidi w:val="0"/>
        <w:spacing w:beforeLines="50" w:afterLines="50" w:line="500" w:lineRule="exact"/>
        <w:rPr>
          <w:rFonts w:ascii="宋体" w:hAnsi="宋体" w:eastAsia="宋体" w:cs="宋体"/>
          <w:sz w:val="28"/>
          <w:szCs w:val="28"/>
        </w:rPr>
      </w:pPr>
      <w:bookmarkStart w:id="4" w:name="_Toc35393629"/>
      <w:bookmarkStart w:id="5" w:name="_Toc9864"/>
      <w:bookmarkStart w:id="6" w:name="_Toc28359012"/>
      <w:bookmarkStart w:id="7" w:name="_Toc28359089"/>
      <w:bookmarkStart w:id="8" w:name="_Toc35393798"/>
      <w:r>
        <w:rPr>
          <w:rFonts w:hint="eastAsia" w:ascii="宋体" w:hAnsi="宋体" w:eastAsia="宋体" w:cs="宋体"/>
          <w:sz w:val="28"/>
          <w:szCs w:val="28"/>
        </w:rPr>
        <w:t>一、项目基本情况</w:t>
      </w:r>
      <w:bookmarkEnd w:id="4"/>
      <w:bookmarkEnd w:id="5"/>
      <w:bookmarkEnd w:id="6"/>
      <w:bookmarkEnd w:id="7"/>
      <w:bookmarkEnd w:id="8"/>
    </w:p>
    <w:p>
      <w:pPr>
        <w:pageBreakBefore w:val="0"/>
        <w:wordWrap/>
        <w:overflowPunct/>
        <w:topLinePunct w:val="0"/>
        <w:bidi w:val="0"/>
        <w:spacing w:line="5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1、项目编号：</w:t>
      </w:r>
      <w:r>
        <w:rPr>
          <w:rFonts w:hint="eastAsia" w:ascii="宋体" w:hAnsi="宋体" w:cs="宋体"/>
          <w:sz w:val="24"/>
          <w:szCs w:val="24"/>
          <w:lang w:eastAsia="zh-CN"/>
        </w:rPr>
        <w:t>AHHYZX-2023006</w:t>
      </w:r>
    </w:p>
    <w:p>
      <w:pPr>
        <w:pageBreakBefore w:val="0"/>
        <w:wordWrap/>
        <w:overflowPunct/>
        <w:topLinePunct w:val="0"/>
        <w:bidi w:val="0"/>
        <w:spacing w:line="500" w:lineRule="exact"/>
        <w:ind w:firstLine="480" w:firstLineChars="200"/>
        <w:rPr>
          <w:rFonts w:ascii="宋体" w:hAnsi="宋体" w:cs="宋体"/>
          <w:sz w:val="24"/>
          <w:szCs w:val="24"/>
        </w:rPr>
      </w:pPr>
      <w:r>
        <w:rPr>
          <w:rFonts w:hint="eastAsia" w:ascii="宋体" w:hAnsi="宋体" w:cs="宋体"/>
          <w:sz w:val="24"/>
          <w:szCs w:val="24"/>
        </w:rPr>
        <w:t>2、项目名称：霍山县2023年小型病险水库除险加固工程监理</w:t>
      </w:r>
    </w:p>
    <w:p>
      <w:pPr>
        <w:pageBreakBefore w:val="0"/>
        <w:wordWrap/>
        <w:overflowPunct/>
        <w:topLinePunct w:val="0"/>
        <w:bidi w:val="0"/>
        <w:spacing w:line="500" w:lineRule="exact"/>
        <w:ind w:firstLine="480" w:firstLineChars="200"/>
        <w:rPr>
          <w:rFonts w:ascii="宋体" w:hAnsi="宋体" w:cs="宋体"/>
          <w:sz w:val="24"/>
          <w:szCs w:val="24"/>
        </w:rPr>
      </w:pPr>
      <w:r>
        <w:rPr>
          <w:rFonts w:hint="eastAsia" w:ascii="宋体" w:hAnsi="宋体" w:cs="宋体"/>
          <w:sz w:val="24"/>
          <w:szCs w:val="24"/>
        </w:rPr>
        <w:t>3、项目类型：服务类</w:t>
      </w:r>
    </w:p>
    <w:p>
      <w:pPr>
        <w:pageBreakBefore w:val="0"/>
        <w:wordWrap/>
        <w:overflowPunct/>
        <w:topLinePunct w:val="0"/>
        <w:bidi w:val="0"/>
        <w:spacing w:line="500" w:lineRule="exact"/>
        <w:ind w:firstLine="480" w:firstLineChars="200"/>
        <w:rPr>
          <w:rFonts w:ascii="宋体" w:hAnsi="宋体" w:cs="宋体"/>
          <w:sz w:val="24"/>
          <w:szCs w:val="24"/>
        </w:rPr>
      </w:pPr>
      <w:r>
        <w:rPr>
          <w:rFonts w:hint="eastAsia" w:ascii="宋体" w:hAnsi="宋体" w:cs="宋体"/>
          <w:sz w:val="24"/>
          <w:szCs w:val="24"/>
        </w:rPr>
        <w:t xml:space="preserve">4、采购方式：竞争性磋商 </w:t>
      </w:r>
    </w:p>
    <w:p>
      <w:pPr>
        <w:pageBreakBefore w:val="0"/>
        <w:wordWrap/>
        <w:overflowPunct/>
        <w:topLinePunct w:val="0"/>
        <w:bidi w:val="0"/>
        <w:spacing w:line="500" w:lineRule="exact"/>
        <w:ind w:firstLine="480" w:firstLineChars="200"/>
        <w:rPr>
          <w:rFonts w:ascii="宋体" w:hAnsi="宋体" w:cs="宋体"/>
          <w:sz w:val="24"/>
          <w:szCs w:val="24"/>
        </w:rPr>
      </w:pPr>
      <w:r>
        <w:rPr>
          <w:rFonts w:hint="eastAsia" w:ascii="宋体" w:hAnsi="宋体" w:cs="宋体"/>
          <w:sz w:val="24"/>
          <w:szCs w:val="24"/>
        </w:rPr>
        <w:t>5、预算金额：</w:t>
      </w:r>
      <w:r>
        <w:rPr>
          <w:rFonts w:hint="eastAsia" w:hAnsi="宋体" w:cs="宋体"/>
          <w:sz w:val="24"/>
          <w:szCs w:val="24"/>
          <w:shd w:val="clear" w:color="auto" w:fill="FFFFFF"/>
        </w:rPr>
        <w:t>批复中监理费用的80.00%</w:t>
      </w:r>
    </w:p>
    <w:p>
      <w:pPr>
        <w:pageBreakBefore w:val="0"/>
        <w:wordWrap/>
        <w:overflowPunct/>
        <w:topLinePunct w:val="0"/>
        <w:bidi w:val="0"/>
        <w:spacing w:line="500" w:lineRule="exact"/>
        <w:ind w:firstLine="480" w:firstLineChars="200"/>
        <w:rPr>
          <w:rFonts w:ascii="宋体" w:hAnsi="宋体" w:cs="宋体"/>
          <w:sz w:val="24"/>
          <w:szCs w:val="24"/>
        </w:rPr>
      </w:pPr>
      <w:r>
        <w:rPr>
          <w:rFonts w:hint="eastAsia" w:ascii="宋体" w:hAnsi="宋体" w:cs="宋体"/>
          <w:sz w:val="24"/>
          <w:szCs w:val="24"/>
        </w:rPr>
        <w:t>6、最高限价：</w:t>
      </w:r>
      <w:r>
        <w:rPr>
          <w:rFonts w:hint="eastAsia" w:hAnsi="宋体" w:cs="宋体"/>
          <w:sz w:val="24"/>
          <w:szCs w:val="24"/>
          <w:shd w:val="clear" w:color="auto" w:fill="FFFFFF"/>
        </w:rPr>
        <w:t>批复中监理费用的80.00%</w:t>
      </w:r>
    </w:p>
    <w:p>
      <w:pPr>
        <w:pageBreakBefore w:val="0"/>
        <w:widowControl/>
        <w:wordWrap/>
        <w:overflowPunct/>
        <w:topLinePunct w:val="0"/>
        <w:bidi w:val="0"/>
        <w:spacing w:line="500" w:lineRule="exact"/>
        <w:ind w:firstLine="480" w:firstLineChars="200"/>
        <w:rPr>
          <w:rFonts w:ascii="宋体" w:hAnsi="宋体" w:cs="宋体"/>
          <w:sz w:val="24"/>
          <w:szCs w:val="24"/>
          <w:u w:val="single"/>
        </w:rPr>
      </w:pPr>
      <w:r>
        <w:rPr>
          <w:rFonts w:hint="eastAsia" w:ascii="宋体" w:hAnsi="宋体" w:cs="宋体"/>
          <w:sz w:val="24"/>
          <w:szCs w:val="24"/>
        </w:rPr>
        <w:t>7、采购需求：本项目为马口坳等10座小型病险水库除险加固，位于霍山县诸佛庵镇等乡镇境内。主要建设内容为重建放水涵洞，维修加固溢洪道及泄洪通道整治，增设大坝安全监测设施及大坝安全防护设施等，工程总造价约1900万元。监理内容为施工阶段对工程质量、造价、进度进行控制，对合同、信息进行管理，对工程建设相关方的关系进行协调，并履行安全生产管理法定职责</w:t>
      </w:r>
      <w:r>
        <w:rPr>
          <w:rFonts w:hint="eastAsia" w:ascii="宋体" w:hAnsi="宋体" w:cs="宋体"/>
          <w:snapToGrid w:val="0"/>
          <w:kern w:val="0"/>
          <w:sz w:val="24"/>
          <w:szCs w:val="24"/>
        </w:rPr>
        <w:t>。</w:t>
      </w:r>
      <w:r>
        <w:rPr>
          <w:rFonts w:hint="eastAsia" w:hAnsi="宋体" w:cs="宋体"/>
          <w:sz w:val="24"/>
          <w:szCs w:val="24"/>
          <w:shd w:val="clear" w:color="auto" w:fill="FFFFFF"/>
        </w:rPr>
        <w:t>监理</w:t>
      </w:r>
      <w:r>
        <w:rPr>
          <w:rFonts w:hint="eastAsia" w:ascii="宋体" w:hAnsi="宋体" w:cs="宋体"/>
          <w:sz w:val="24"/>
          <w:szCs w:val="24"/>
        </w:rPr>
        <w:t>费用约29.8万</w:t>
      </w:r>
      <w:r>
        <w:rPr>
          <w:rFonts w:hint="eastAsia" w:hAnsi="宋体" w:cs="宋体"/>
          <w:sz w:val="24"/>
          <w:szCs w:val="24"/>
          <w:shd w:val="clear" w:color="auto" w:fill="FFFFFF"/>
        </w:rPr>
        <w:t>。</w:t>
      </w:r>
    </w:p>
    <w:p>
      <w:pPr>
        <w:pageBreakBefore w:val="0"/>
        <w:widowControl/>
        <w:wordWrap/>
        <w:overflowPunct/>
        <w:topLinePunct w:val="0"/>
        <w:bidi w:val="0"/>
        <w:spacing w:line="500" w:lineRule="exact"/>
        <w:ind w:firstLine="480" w:firstLineChars="200"/>
        <w:rPr>
          <w:rFonts w:ascii="宋体" w:hAnsi="宋体" w:cs="宋体"/>
          <w:sz w:val="24"/>
          <w:szCs w:val="24"/>
          <w:u w:val="single"/>
        </w:rPr>
      </w:pPr>
      <w:r>
        <w:rPr>
          <w:rFonts w:hint="eastAsia" w:ascii="宋体" w:hAnsi="宋体" w:cs="宋体"/>
          <w:sz w:val="24"/>
          <w:szCs w:val="24"/>
        </w:rPr>
        <w:t>8、合同履行期限：自监理合同签订之日起，至缺陷责任期结束。</w:t>
      </w:r>
    </w:p>
    <w:p>
      <w:pPr>
        <w:pageBreakBefore w:val="0"/>
        <w:wordWrap/>
        <w:overflowPunct/>
        <w:topLinePunct w:val="0"/>
        <w:bidi w:val="0"/>
        <w:spacing w:line="500" w:lineRule="exact"/>
        <w:ind w:firstLine="480" w:firstLineChars="200"/>
        <w:rPr>
          <w:rFonts w:ascii="宋体" w:hAnsi="宋体" w:cs="宋体"/>
          <w:sz w:val="24"/>
          <w:szCs w:val="24"/>
        </w:rPr>
      </w:pPr>
      <w:r>
        <w:rPr>
          <w:rFonts w:hint="eastAsia" w:ascii="宋体" w:hAnsi="宋体" w:cs="宋体"/>
          <w:sz w:val="24"/>
          <w:szCs w:val="24"/>
        </w:rPr>
        <w:t>9、是否接受联合体：不接受。</w:t>
      </w:r>
    </w:p>
    <w:p>
      <w:pPr>
        <w:pStyle w:val="4"/>
        <w:pageBreakBefore w:val="0"/>
        <w:wordWrap/>
        <w:overflowPunct/>
        <w:topLinePunct w:val="0"/>
        <w:bidi w:val="0"/>
        <w:spacing w:beforeLines="50" w:afterLines="50" w:line="500" w:lineRule="exact"/>
        <w:rPr>
          <w:rFonts w:ascii="宋体" w:hAnsi="宋体" w:eastAsia="宋体" w:cs="宋体"/>
          <w:sz w:val="28"/>
          <w:szCs w:val="28"/>
        </w:rPr>
      </w:pPr>
      <w:bookmarkStart w:id="9" w:name="_Toc35393799"/>
      <w:bookmarkStart w:id="10" w:name="_Toc8072"/>
      <w:bookmarkStart w:id="11" w:name="_Toc28359090"/>
      <w:bookmarkStart w:id="12" w:name="_Toc28359013"/>
      <w:bookmarkStart w:id="13" w:name="_Toc35393630"/>
      <w:bookmarkStart w:id="14" w:name="_Toc28359014"/>
      <w:bookmarkStart w:id="15" w:name="_Toc28359091"/>
      <w:r>
        <w:rPr>
          <w:rFonts w:hint="eastAsia" w:ascii="宋体" w:hAnsi="宋体" w:eastAsia="宋体" w:cs="宋体"/>
          <w:sz w:val="28"/>
          <w:szCs w:val="28"/>
        </w:rPr>
        <w:t>二、申请人的资格要求</w:t>
      </w:r>
      <w:bookmarkEnd w:id="9"/>
      <w:bookmarkEnd w:id="10"/>
      <w:bookmarkEnd w:id="11"/>
      <w:bookmarkEnd w:id="12"/>
      <w:bookmarkEnd w:id="13"/>
    </w:p>
    <w:p>
      <w:pPr>
        <w:pageBreakBefore w:val="0"/>
        <w:wordWrap/>
        <w:overflowPunct/>
        <w:topLinePunct w:val="0"/>
        <w:bidi w:val="0"/>
        <w:spacing w:line="500" w:lineRule="exact"/>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w:t>
      </w:r>
    </w:p>
    <w:p>
      <w:pPr>
        <w:pageBreakBefore w:val="0"/>
        <w:wordWrap/>
        <w:overflowPunct/>
        <w:topLinePunct w:val="0"/>
        <w:bidi w:val="0"/>
        <w:spacing w:line="500" w:lineRule="exact"/>
        <w:ind w:firstLine="480" w:firstLineChars="200"/>
        <w:rPr>
          <w:rFonts w:ascii="宋体" w:hAnsi="宋体" w:cs="宋体"/>
          <w:sz w:val="24"/>
          <w:szCs w:val="24"/>
        </w:rPr>
      </w:pPr>
      <w:r>
        <w:rPr>
          <w:rFonts w:hint="eastAsia" w:ascii="宋体" w:hAnsi="宋体" w:cs="宋体"/>
          <w:sz w:val="24"/>
          <w:szCs w:val="24"/>
        </w:rPr>
        <w:t>2、本项目的特定资格要求：</w:t>
      </w:r>
    </w:p>
    <w:p>
      <w:pPr>
        <w:pageBreakBefore w:val="0"/>
        <w:wordWrap/>
        <w:overflowPunct/>
        <w:topLinePunct w:val="0"/>
        <w:bidi w:val="0"/>
        <w:spacing w:line="500" w:lineRule="exact"/>
        <w:ind w:firstLine="472" w:firstLineChars="197"/>
        <w:rPr>
          <w:rFonts w:ascii="宋体" w:hAnsi="宋体" w:cs="宋体"/>
          <w:sz w:val="24"/>
          <w:szCs w:val="24"/>
        </w:rPr>
      </w:pPr>
      <w:r>
        <w:rPr>
          <w:rFonts w:hint="eastAsia" w:ascii="宋体" w:hAnsi="宋体" w:cs="宋体"/>
          <w:sz w:val="24"/>
          <w:szCs w:val="24"/>
        </w:rPr>
        <w:t>（1）供应商应具有独立法人资格，具有水利部颁发的水利工程施工监理乙级及以上资质；</w:t>
      </w:r>
    </w:p>
    <w:p>
      <w:pPr>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ascii="宋体" w:hAnsi="宋体" w:cs="宋体"/>
          <w:snapToGrid w:val="0"/>
          <w:color w:val="000000"/>
          <w:kern w:val="0"/>
          <w:sz w:val="24"/>
          <w:szCs w:val="24"/>
        </w:rPr>
      </w:pPr>
      <w:r>
        <w:rPr>
          <w:rFonts w:hint="eastAsia" w:ascii="宋体" w:hAnsi="宋体" w:cs="宋体"/>
          <w:sz w:val="24"/>
          <w:szCs w:val="24"/>
        </w:rPr>
        <w:t>（2）</w:t>
      </w:r>
      <w:r>
        <w:rPr>
          <w:rFonts w:hint="eastAsia" w:ascii="宋体" w:hAnsi="宋体" w:cs="宋体"/>
          <w:snapToGrid w:val="0"/>
          <w:color w:val="000000"/>
          <w:kern w:val="0"/>
          <w:sz w:val="24"/>
          <w:szCs w:val="24"/>
        </w:rPr>
        <w:t>拟派总监理工程师取得《全国水利工程建设监理工程师资格证书》（水利水电工程相关专业），具有</w:t>
      </w:r>
      <w:r>
        <w:rPr>
          <w:rFonts w:hint="eastAsia" w:ascii="宋体" w:hAnsi="宋体" w:cs="宋体"/>
          <w:snapToGrid w:val="0"/>
          <w:kern w:val="0"/>
          <w:sz w:val="24"/>
          <w:szCs w:val="24"/>
        </w:rPr>
        <w:t>工程类中级及以上专业技术职称</w:t>
      </w:r>
      <w:r>
        <w:rPr>
          <w:rFonts w:hint="eastAsia" w:ascii="宋体" w:hAnsi="宋体" w:cs="宋体"/>
          <w:snapToGrid w:val="0"/>
          <w:color w:val="000000"/>
          <w:kern w:val="0"/>
          <w:sz w:val="24"/>
          <w:szCs w:val="24"/>
        </w:rPr>
        <w:t xml:space="preserve">。  </w:t>
      </w:r>
    </w:p>
    <w:p>
      <w:pPr>
        <w:pageBreakBefore w:val="0"/>
        <w:wordWrap/>
        <w:overflowPunct/>
        <w:topLinePunct w:val="0"/>
        <w:bidi w:val="0"/>
        <w:spacing w:line="500" w:lineRule="exact"/>
        <w:ind w:firstLine="472" w:firstLineChars="197"/>
        <w:rPr>
          <w:rFonts w:ascii="宋体" w:hAnsi="宋体" w:cs="宋体"/>
          <w:color w:val="000000" w:themeColor="text1"/>
          <w:sz w:val="24"/>
          <w:szCs w:val="24"/>
        </w:rPr>
      </w:pPr>
      <w:r>
        <w:rPr>
          <w:rFonts w:hint="eastAsia" w:ascii="宋体" w:hAnsi="宋体" w:cs="宋体"/>
          <w:color w:val="000000" w:themeColor="text1"/>
          <w:sz w:val="24"/>
          <w:szCs w:val="24"/>
        </w:rPr>
        <w:t>3、总监理工程师和监理工程师需提供2022年8月以来连续三个月的社保证明编入投标文件中。</w:t>
      </w:r>
    </w:p>
    <w:p>
      <w:pPr>
        <w:pStyle w:val="35"/>
        <w:pageBreakBefore w:val="0"/>
        <w:wordWrap/>
        <w:overflowPunct/>
        <w:topLinePunct w:val="0"/>
        <w:bidi w:val="0"/>
        <w:spacing w:line="500" w:lineRule="exact"/>
        <w:rPr>
          <w:rFonts w:ascii="宋体" w:hAnsi="宋体" w:cs="宋体"/>
          <w:szCs w:val="24"/>
        </w:rPr>
      </w:pPr>
      <w:r>
        <w:rPr>
          <w:rFonts w:hint="eastAsia" w:ascii="宋体" w:hAnsi="宋体" w:cs="宋体"/>
          <w:szCs w:val="24"/>
        </w:rPr>
        <w:t>4、供应商存在以下不良信用记录情形之一的，不得推荐为成交候选供应商，不得确定为成交供应商：</w:t>
      </w:r>
    </w:p>
    <w:p>
      <w:pPr>
        <w:pStyle w:val="35"/>
        <w:pageBreakBefore w:val="0"/>
        <w:wordWrap/>
        <w:overflowPunct/>
        <w:topLinePunct w:val="0"/>
        <w:bidi w:val="0"/>
        <w:spacing w:line="500" w:lineRule="exact"/>
        <w:rPr>
          <w:rFonts w:ascii="宋体" w:hAnsi="宋体" w:cs="宋体"/>
          <w:szCs w:val="24"/>
        </w:rPr>
      </w:pPr>
      <w:r>
        <w:rPr>
          <w:rFonts w:hint="eastAsia" w:ascii="宋体" w:hAnsi="宋体" w:cs="宋体"/>
          <w:szCs w:val="24"/>
        </w:rPr>
        <w:t>(1）供应商被人民法院列入失信被执行人的；</w:t>
      </w:r>
    </w:p>
    <w:p>
      <w:pPr>
        <w:pStyle w:val="35"/>
        <w:pageBreakBefore w:val="0"/>
        <w:wordWrap/>
        <w:overflowPunct/>
        <w:topLinePunct w:val="0"/>
        <w:bidi w:val="0"/>
        <w:spacing w:line="500" w:lineRule="exact"/>
        <w:rPr>
          <w:rFonts w:ascii="宋体" w:hAnsi="宋体" w:cs="宋体"/>
          <w:szCs w:val="24"/>
        </w:rPr>
      </w:pPr>
      <w:r>
        <w:rPr>
          <w:rFonts w:hint="eastAsia" w:ascii="宋体" w:hAnsi="宋体" w:cs="宋体"/>
          <w:szCs w:val="24"/>
        </w:rPr>
        <w:t>(2）供应商被市场监督管理部门列入企业经营异常名录的；</w:t>
      </w:r>
    </w:p>
    <w:p>
      <w:pPr>
        <w:pStyle w:val="35"/>
        <w:pageBreakBefore w:val="0"/>
        <w:wordWrap/>
        <w:overflowPunct/>
        <w:topLinePunct w:val="0"/>
        <w:bidi w:val="0"/>
        <w:spacing w:line="500" w:lineRule="exact"/>
        <w:rPr>
          <w:rFonts w:ascii="宋体" w:hAnsi="宋体" w:cs="宋体"/>
          <w:szCs w:val="24"/>
        </w:rPr>
      </w:pPr>
      <w:r>
        <w:rPr>
          <w:rFonts w:hint="eastAsia" w:ascii="宋体" w:hAnsi="宋体" w:cs="宋体"/>
          <w:szCs w:val="24"/>
        </w:rPr>
        <w:t>(3）供应商被税务部门列入重大税收违法案件当事人名单的；</w:t>
      </w:r>
    </w:p>
    <w:p>
      <w:pPr>
        <w:pStyle w:val="35"/>
        <w:pageBreakBefore w:val="0"/>
        <w:wordWrap/>
        <w:overflowPunct/>
        <w:topLinePunct w:val="0"/>
        <w:bidi w:val="0"/>
        <w:spacing w:line="500" w:lineRule="exact"/>
        <w:rPr>
          <w:rFonts w:ascii="宋体" w:hAnsi="宋体" w:cs="宋体"/>
          <w:szCs w:val="24"/>
        </w:rPr>
      </w:pPr>
      <w:r>
        <w:rPr>
          <w:rFonts w:hint="eastAsia" w:ascii="宋体" w:hAnsi="宋体" w:cs="宋体"/>
          <w:szCs w:val="24"/>
        </w:rPr>
        <w:t>(4）供应商被政府采购监管部门列入政府采购严重违法失信行为记录名单的。</w:t>
      </w:r>
    </w:p>
    <w:p>
      <w:pPr>
        <w:pStyle w:val="4"/>
        <w:pageBreakBefore w:val="0"/>
        <w:wordWrap/>
        <w:overflowPunct/>
        <w:topLinePunct w:val="0"/>
        <w:bidi w:val="0"/>
        <w:spacing w:beforeLines="50" w:afterLines="50" w:line="500" w:lineRule="exact"/>
        <w:rPr>
          <w:rFonts w:ascii="宋体" w:hAnsi="宋体" w:eastAsia="宋体" w:cs="宋体"/>
          <w:sz w:val="28"/>
          <w:szCs w:val="28"/>
        </w:rPr>
      </w:pPr>
      <w:bookmarkStart w:id="16" w:name="_Toc35393631"/>
      <w:bookmarkStart w:id="17" w:name="_Toc32583"/>
      <w:bookmarkStart w:id="18" w:name="_Toc35393800"/>
      <w:r>
        <w:rPr>
          <w:rFonts w:hint="eastAsia" w:ascii="宋体" w:hAnsi="宋体" w:eastAsia="宋体" w:cs="宋体"/>
          <w:sz w:val="28"/>
          <w:szCs w:val="28"/>
        </w:rPr>
        <w:t>三、获取采购文件</w:t>
      </w:r>
      <w:bookmarkEnd w:id="14"/>
      <w:bookmarkEnd w:id="15"/>
      <w:bookmarkEnd w:id="16"/>
      <w:bookmarkEnd w:id="17"/>
      <w:bookmarkEnd w:id="18"/>
    </w:p>
    <w:p>
      <w:pPr>
        <w:pageBreakBefore w:val="0"/>
        <w:widowControl/>
        <w:wordWrap/>
        <w:overflowPunct/>
        <w:topLinePunct w:val="0"/>
        <w:bidi w:val="0"/>
        <w:spacing w:line="500" w:lineRule="exact"/>
        <w:ind w:firstLine="480" w:firstLineChars="200"/>
        <w:jc w:val="left"/>
        <w:rPr>
          <w:rFonts w:ascii="宋体" w:hAnsi="宋体" w:cs="宋体"/>
          <w:kern w:val="0"/>
          <w:sz w:val="24"/>
          <w:szCs w:val="24"/>
        </w:rPr>
      </w:pPr>
      <w:bookmarkStart w:id="19" w:name="_Toc28359092"/>
      <w:bookmarkStart w:id="20" w:name="_Toc35393801"/>
      <w:bookmarkStart w:id="21" w:name="_Toc28359015"/>
      <w:bookmarkStart w:id="22" w:name="_Toc35393632"/>
      <w:bookmarkStart w:id="23" w:name="_Toc26077"/>
      <w:r>
        <w:rPr>
          <w:rFonts w:hint="eastAsia" w:ascii="宋体" w:hAnsi="宋体" w:cs="宋体"/>
          <w:kern w:val="0"/>
          <w:sz w:val="24"/>
          <w:szCs w:val="24"/>
        </w:rPr>
        <w:t>1、时间：自公告发布之日起至磋商时间前</w:t>
      </w:r>
    </w:p>
    <w:p>
      <w:pPr>
        <w:pageBreakBefore w:val="0"/>
        <w:widowControl/>
        <w:wordWrap/>
        <w:overflowPunct/>
        <w:topLinePunct w:val="0"/>
        <w:bidi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2、地点：六安市公共资源交易电子服务系统（http://ggzy.luan.gov.cn）、安徽衡宇工程咨询有限公司网（http://www.ahhygczx.com）。</w:t>
      </w:r>
    </w:p>
    <w:p>
      <w:pPr>
        <w:pageBreakBefore w:val="0"/>
        <w:widowControl/>
        <w:wordWrap/>
        <w:overflowPunct/>
        <w:topLinePunct w:val="0"/>
        <w:bidi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3、获取方式：本项目磋商文件（答疑澄清等相关文件资料）均由供应商从安徽衡宇工程咨询有限公司网（http://www.ahhygczx.com）网站自行下载。</w:t>
      </w:r>
    </w:p>
    <w:p>
      <w:pPr>
        <w:pStyle w:val="4"/>
        <w:pageBreakBefore w:val="0"/>
        <w:wordWrap/>
        <w:overflowPunct/>
        <w:topLinePunct w:val="0"/>
        <w:bidi w:val="0"/>
        <w:spacing w:beforeLines="50" w:afterLines="50" w:line="500" w:lineRule="exact"/>
        <w:rPr>
          <w:rFonts w:ascii="宋体" w:hAnsi="宋体" w:eastAsia="宋体" w:cs="宋体"/>
          <w:sz w:val="28"/>
          <w:szCs w:val="28"/>
        </w:rPr>
      </w:pPr>
      <w:r>
        <w:rPr>
          <w:rFonts w:hint="eastAsia" w:ascii="宋体" w:hAnsi="宋体" w:eastAsia="宋体" w:cs="宋体"/>
          <w:sz w:val="28"/>
          <w:szCs w:val="28"/>
        </w:rPr>
        <w:t>四、响应文件</w:t>
      </w:r>
      <w:bookmarkEnd w:id="19"/>
      <w:bookmarkEnd w:id="20"/>
      <w:bookmarkEnd w:id="21"/>
      <w:bookmarkEnd w:id="22"/>
      <w:r>
        <w:rPr>
          <w:rFonts w:hint="eastAsia" w:ascii="宋体" w:hAnsi="宋体" w:eastAsia="宋体" w:cs="宋体"/>
          <w:sz w:val="28"/>
          <w:szCs w:val="28"/>
        </w:rPr>
        <w:t>提交</w:t>
      </w:r>
      <w:bookmarkEnd w:id="23"/>
    </w:p>
    <w:p>
      <w:pPr>
        <w:pageBreakBefore w:val="0"/>
        <w:widowControl/>
        <w:wordWrap/>
        <w:overflowPunct/>
        <w:topLinePunct w:val="0"/>
        <w:bidi w:val="0"/>
        <w:spacing w:line="500" w:lineRule="exact"/>
        <w:ind w:firstLine="480" w:firstLineChars="200"/>
        <w:jc w:val="left"/>
        <w:rPr>
          <w:rFonts w:ascii="宋体" w:hAnsi="宋体" w:cs="宋体"/>
          <w:kern w:val="0"/>
          <w:sz w:val="24"/>
          <w:szCs w:val="24"/>
        </w:rPr>
      </w:pPr>
      <w:bookmarkStart w:id="24" w:name="_Toc35393802"/>
      <w:bookmarkStart w:id="25" w:name="_Toc28359016"/>
      <w:bookmarkStart w:id="26" w:name="_Toc28359093"/>
      <w:bookmarkStart w:id="27" w:name="_Toc35393633"/>
      <w:bookmarkStart w:id="28" w:name="_Toc11900"/>
      <w:r>
        <w:rPr>
          <w:rFonts w:hint="eastAsia" w:ascii="宋体" w:hAnsi="宋体" w:cs="宋体"/>
          <w:kern w:val="0"/>
          <w:sz w:val="24"/>
          <w:szCs w:val="24"/>
        </w:rPr>
        <w:t>1、递交截止时</w:t>
      </w:r>
      <w:r>
        <w:rPr>
          <w:rFonts w:hint="eastAsia" w:ascii="宋体" w:hAnsi="宋体" w:cs="宋体"/>
          <w:color w:val="auto"/>
          <w:kern w:val="0"/>
          <w:sz w:val="24"/>
          <w:szCs w:val="24"/>
        </w:rPr>
        <w:t>间：</w:t>
      </w:r>
      <w:r>
        <w:rPr>
          <w:rFonts w:hint="eastAsia" w:ascii="宋体" w:hAnsi="宋体" w:cs="宋体"/>
          <w:color w:val="auto"/>
          <w:sz w:val="24"/>
          <w:szCs w:val="24"/>
        </w:rPr>
        <w:t>2023年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3</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24 </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9</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点</w:t>
      </w:r>
      <w:r>
        <w:rPr>
          <w:rFonts w:hint="eastAsia" w:ascii="宋体" w:hAnsi="宋体" w:cs="宋体"/>
          <w:color w:val="auto"/>
          <w:sz w:val="24"/>
          <w:szCs w:val="24"/>
          <w:u w:val="single"/>
          <w:lang w:val="en-US" w:eastAsia="zh-CN"/>
        </w:rPr>
        <w:t xml:space="preserve"> 3</w:t>
      </w:r>
      <w:r>
        <w:rPr>
          <w:rFonts w:hint="eastAsia" w:ascii="宋体" w:hAnsi="宋体" w:cs="宋体"/>
          <w:color w:val="auto"/>
          <w:sz w:val="24"/>
          <w:szCs w:val="24"/>
          <w:u w:val="single"/>
        </w:rPr>
        <w:t>0</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分</w:t>
      </w:r>
      <w:r>
        <w:rPr>
          <w:rFonts w:hint="eastAsia" w:ascii="宋体" w:hAnsi="宋体" w:cs="宋体"/>
          <w:color w:val="auto"/>
          <w:kern w:val="0"/>
          <w:sz w:val="24"/>
          <w:szCs w:val="24"/>
        </w:rPr>
        <w:t>（</w:t>
      </w:r>
      <w:r>
        <w:rPr>
          <w:rFonts w:hint="eastAsia" w:ascii="宋体" w:hAnsi="宋体" w:cs="宋体"/>
          <w:kern w:val="0"/>
          <w:sz w:val="24"/>
          <w:szCs w:val="24"/>
        </w:rPr>
        <w:t>北京时间）</w:t>
      </w:r>
    </w:p>
    <w:p>
      <w:pPr>
        <w:pageBreakBefore w:val="0"/>
        <w:widowControl/>
        <w:wordWrap/>
        <w:overflowPunct/>
        <w:topLinePunct w:val="0"/>
        <w:bidi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2、递交方式：现场递交</w:t>
      </w:r>
    </w:p>
    <w:p>
      <w:pPr>
        <w:pageBreakBefore w:val="0"/>
        <w:widowControl/>
        <w:wordWrap/>
        <w:overflowPunct/>
        <w:topLinePunct w:val="0"/>
        <w:bidi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3、递交地点：安徽衡宇工程咨询有限公司二楼开标厅（中兴南路16号，老建设局大院二楼）</w:t>
      </w:r>
    </w:p>
    <w:p>
      <w:pPr>
        <w:pStyle w:val="4"/>
        <w:pageBreakBefore w:val="0"/>
        <w:wordWrap/>
        <w:overflowPunct/>
        <w:topLinePunct w:val="0"/>
        <w:bidi w:val="0"/>
        <w:spacing w:beforeLines="50" w:afterLines="50" w:line="500" w:lineRule="exact"/>
        <w:rPr>
          <w:rFonts w:ascii="宋体" w:hAnsi="宋体" w:eastAsia="宋体" w:cs="宋体"/>
          <w:sz w:val="28"/>
          <w:szCs w:val="28"/>
        </w:rPr>
      </w:pPr>
      <w:r>
        <w:rPr>
          <w:rFonts w:hint="eastAsia" w:ascii="宋体" w:hAnsi="宋体" w:eastAsia="宋体" w:cs="宋体"/>
          <w:sz w:val="28"/>
          <w:szCs w:val="28"/>
        </w:rPr>
        <w:t>五、</w:t>
      </w:r>
      <w:bookmarkEnd w:id="24"/>
      <w:bookmarkEnd w:id="25"/>
      <w:bookmarkEnd w:id="26"/>
      <w:bookmarkEnd w:id="27"/>
      <w:r>
        <w:rPr>
          <w:rFonts w:hint="eastAsia" w:ascii="宋体" w:hAnsi="宋体" w:eastAsia="宋体" w:cs="宋体"/>
          <w:sz w:val="28"/>
          <w:szCs w:val="28"/>
        </w:rPr>
        <w:t>响应文件开启</w:t>
      </w:r>
      <w:bookmarkEnd w:id="28"/>
    </w:p>
    <w:p>
      <w:pPr>
        <w:pageBreakBefore w:val="0"/>
        <w:wordWrap/>
        <w:overflowPunct/>
        <w:topLinePunct w:val="0"/>
        <w:bidi w:val="0"/>
        <w:spacing w:line="500" w:lineRule="exact"/>
        <w:ind w:firstLine="480" w:firstLineChars="200"/>
        <w:rPr>
          <w:rFonts w:ascii="宋体" w:hAnsi="宋体" w:cs="宋体"/>
          <w:sz w:val="24"/>
          <w:szCs w:val="24"/>
        </w:rPr>
      </w:pPr>
      <w:r>
        <w:rPr>
          <w:rFonts w:hint="eastAsia" w:ascii="宋体" w:hAnsi="宋体" w:cs="宋体"/>
          <w:sz w:val="24"/>
          <w:szCs w:val="24"/>
        </w:rPr>
        <w:t>1、时</w:t>
      </w:r>
      <w:r>
        <w:rPr>
          <w:rFonts w:hint="eastAsia" w:ascii="宋体" w:hAnsi="宋体" w:cs="宋体"/>
          <w:color w:val="auto"/>
          <w:sz w:val="24"/>
          <w:szCs w:val="24"/>
        </w:rPr>
        <w:t>间：2023年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3</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24 </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9</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点</w:t>
      </w:r>
      <w:r>
        <w:rPr>
          <w:rFonts w:hint="eastAsia" w:ascii="宋体" w:hAnsi="宋体" w:cs="宋体"/>
          <w:color w:val="auto"/>
          <w:sz w:val="24"/>
          <w:szCs w:val="24"/>
          <w:u w:val="single"/>
          <w:lang w:val="en-US" w:eastAsia="zh-CN"/>
        </w:rPr>
        <w:t xml:space="preserve"> 3</w:t>
      </w:r>
      <w:r>
        <w:rPr>
          <w:rFonts w:hint="eastAsia" w:ascii="宋体" w:hAnsi="宋体" w:cs="宋体"/>
          <w:color w:val="auto"/>
          <w:sz w:val="24"/>
          <w:szCs w:val="24"/>
          <w:u w:val="single"/>
        </w:rPr>
        <w:t>0</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分</w:t>
      </w:r>
      <w:r>
        <w:rPr>
          <w:rFonts w:hint="eastAsia" w:ascii="宋体" w:hAnsi="宋体" w:cs="宋体"/>
          <w:color w:val="auto"/>
          <w:kern w:val="0"/>
          <w:sz w:val="24"/>
          <w:szCs w:val="24"/>
        </w:rPr>
        <w:t>（北京</w:t>
      </w:r>
      <w:r>
        <w:rPr>
          <w:rFonts w:hint="eastAsia" w:ascii="宋体" w:hAnsi="宋体" w:cs="宋体"/>
          <w:kern w:val="0"/>
          <w:sz w:val="24"/>
          <w:szCs w:val="24"/>
        </w:rPr>
        <w:t>时间）</w:t>
      </w:r>
    </w:p>
    <w:p>
      <w:pPr>
        <w:pageBreakBefore w:val="0"/>
        <w:widowControl/>
        <w:wordWrap/>
        <w:overflowPunct/>
        <w:topLinePunct w:val="0"/>
        <w:bidi w:val="0"/>
        <w:spacing w:line="500" w:lineRule="exact"/>
        <w:ind w:firstLine="480" w:firstLineChars="200"/>
        <w:jc w:val="left"/>
        <w:rPr>
          <w:rFonts w:ascii="宋体" w:hAnsi="宋体" w:cs="宋体"/>
          <w:kern w:val="0"/>
          <w:sz w:val="24"/>
          <w:szCs w:val="24"/>
        </w:rPr>
      </w:pPr>
      <w:r>
        <w:rPr>
          <w:rFonts w:hint="eastAsia" w:ascii="宋体" w:hAnsi="宋体" w:cs="宋体"/>
          <w:sz w:val="24"/>
          <w:szCs w:val="24"/>
        </w:rPr>
        <w:t>2、地点：</w:t>
      </w:r>
      <w:r>
        <w:rPr>
          <w:rFonts w:hint="eastAsia" w:ascii="宋体" w:hAnsi="宋体" w:cs="宋体"/>
          <w:kern w:val="0"/>
          <w:sz w:val="24"/>
          <w:szCs w:val="24"/>
        </w:rPr>
        <w:t>安徽衡宇工程咨询有限公司二楼开标厅（中兴南路16号，老建设局大院二楼）</w:t>
      </w:r>
    </w:p>
    <w:p>
      <w:pPr>
        <w:pStyle w:val="4"/>
        <w:pageBreakBefore w:val="0"/>
        <w:wordWrap/>
        <w:overflowPunct/>
        <w:topLinePunct w:val="0"/>
        <w:bidi w:val="0"/>
        <w:spacing w:beforeLines="50" w:afterLines="50" w:line="500" w:lineRule="exact"/>
        <w:rPr>
          <w:rFonts w:ascii="宋体" w:hAnsi="宋体" w:eastAsia="宋体" w:cs="宋体"/>
          <w:sz w:val="28"/>
          <w:szCs w:val="28"/>
        </w:rPr>
      </w:pPr>
      <w:bookmarkStart w:id="29" w:name="_Toc35393803"/>
      <w:bookmarkStart w:id="30" w:name="_Toc6439"/>
      <w:bookmarkStart w:id="31" w:name="_Toc28359094"/>
      <w:bookmarkStart w:id="32" w:name="_Toc35393634"/>
      <w:bookmarkStart w:id="33" w:name="_Toc28359017"/>
      <w:r>
        <w:rPr>
          <w:rFonts w:hint="eastAsia" w:ascii="宋体" w:hAnsi="宋体" w:eastAsia="宋体" w:cs="宋体"/>
          <w:sz w:val="28"/>
          <w:szCs w:val="28"/>
        </w:rPr>
        <w:t>六、公告期限</w:t>
      </w:r>
      <w:bookmarkEnd w:id="29"/>
      <w:bookmarkEnd w:id="30"/>
      <w:bookmarkEnd w:id="31"/>
      <w:bookmarkEnd w:id="32"/>
      <w:bookmarkEnd w:id="33"/>
    </w:p>
    <w:p>
      <w:pPr>
        <w:pageBreakBefore w:val="0"/>
        <w:wordWrap/>
        <w:overflowPunct/>
        <w:topLinePunct w:val="0"/>
        <w:bidi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自本公告发布之日起10个日历天。</w:t>
      </w:r>
    </w:p>
    <w:p>
      <w:pPr>
        <w:pStyle w:val="4"/>
        <w:pageBreakBefore w:val="0"/>
        <w:wordWrap/>
        <w:overflowPunct/>
        <w:topLinePunct w:val="0"/>
        <w:bidi w:val="0"/>
        <w:spacing w:beforeLines="50" w:afterLines="50" w:line="500" w:lineRule="exact"/>
        <w:rPr>
          <w:rFonts w:ascii="宋体" w:hAnsi="宋体" w:eastAsia="宋体" w:cs="宋体"/>
          <w:sz w:val="28"/>
          <w:szCs w:val="28"/>
        </w:rPr>
      </w:pPr>
      <w:r>
        <w:rPr>
          <w:rFonts w:hint="eastAsia" w:ascii="宋体" w:hAnsi="宋体" w:eastAsia="宋体" w:cs="宋体"/>
          <w:sz w:val="28"/>
          <w:szCs w:val="28"/>
        </w:rPr>
        <w:t>七、</w:t>
      </w:r>
      <w:bookmarkStart w:id="34" w:name="_Toc35393804"/>
      <w:bookmarkStart w:id="35" w:name="_Toc35393635"/>
      <w:r>
        <w:rPr>
          <w:rFonts w:hint="eastAsia" w:ascii="宋体" w:hAnsi="宋体" w:eastAsia="宋体" w:cs="宋体"/>
          <w:sz w:val="28"/>
          <w:szCs w:val="28"/>
        </w:rPr>
        <w:t>其他事宜</w:t>
      </w:r>
      <w:bookmarkEnd w:id="34"/>
      <w:bookmarkEnd w:id="35"/>
      <w:bookmarkStart w:id="36" w:name="_Toc28359018"/>
      <w:bookmarkStart w:id="37" w:name="_Toc35393805"/>
      <w:bookmarkStart w:id="38" w:name="_Toc35393636"/>
      <w:bookmarkStart w:id="39" w:name="_Toc28359095"/>
    </w:p>
    <w:p>
      <w:pPr>
        <w:pageBreakBefore w:val="0"/>
        <w:widowControl/>
        <w:wordWrap/>
        <w:overflowPunct/>
        <w:topLinePunct w:val="0"/>
        <w:bidi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1、供应商应当按照本项目采购文件规定的时间和地点参与磋商，供应商仅确定一名人员</w:t>
      </w:r>
      <w:r>
        <w:rPr>
          <w:rFonts w:hint="eastAsia" w:ascii="宋体" w:hAnsi="宋体" w:cs="宋体"/>
          <w:kern w:val="0"/>
          <w:sz w:val="24"/>
          <w:szCs w:val="24"/>
          <w:lang w:val="en-US" w:eastAsia="zh-CN"/>
        </w:rPr>
        <w:t>参加</w:t>
      </w:r>
      <w:r>
        <w:rPr>
          <w:rFonts w:hint="eastAsia" w:ascii="宋体" w:hAnsi="宋体" w:eastAsia="宋体" w:cs="宋体"/>
          <w:kern w:val="0"/>
          <w:sz w:val="24"/>
          <w:szCs w:val="24"/>
          <w:lang w:eastAsia="zh-CN"/>
        </w:rPr>
        <w:t>〖</w:t>
      </w:r>
      <w:r>
        <w:rPr>
          <w:rFonts w:hint="eastAsia" w:ascii="宋体" w:hAnsi="宋体" w:cs="宋体"/>
          <w:kern w:val="0"/>
          <w:sz w:val="24"/>
          <w:szCs w:val="24"/>
        </w:rPr>
        <w:t>法定代表人持本人二代居民身份证原件和法定代表人身份证明（或授权委托代理人持本人二代居民身份证原件和法人授权委托书原件）</w:t>
      </w:r>
      <w:r>
        <w:rPr>
          <w:rFonts w:hint="eastAsia" w:ascii="宋体" w:hAnsi="宋体" w:eastAsia="宋体" w:cs="宋体"/>
          <w:kern w:val="0"/>
          <w:sz w:val="24"/>
          <w:szCs w:val="24"/>
          <w:lang w:eastAsia="zh-CN"/>
        </w:rPr>
        <w:t>〗</w:t>
      </w:r>
      <w:r>
        <w:rPr>
          <w:rFonts w:hint="eastAsia" w:ascii="宋体" w:hAnsi="宋体" w:cs="宋体"/>
          <w:kern w:val="0"/>
          <w:sz w:val="24"/>
          <w:szCs w:val="24"/>
        </w:rPr>
        <w:t>。凡不能出示上述有效证件或到场人员与证件载明的人员不一致或未出席磋商会议者，响应文件不予接受，磋商资格无效。</w:t>
      </w:r>
    </w:p>
    <w:p>
      <w:pPr>
        <w:pageBreakBefore w:val="0"/>
        <w:widowControl/>
        <w:wordWrap/>
        <w:overflowPunct/>
        <w:topLinePunct w:val="0"/>
        <w:bidi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2、答疑：供应商如果对本项目内容有相关疑问，可以以邮件形式提出，对采购文件进行的澄清、更正或更改，将在六安市公共资源交易电子服务系统（http://ggzy.luan.gov.cn）网站</w:t>
      </w:r>
      <w:r>
        <w:rPr>
          <w:rFonts w:hint="eastAsia" w:ascii="宋体" w:hAnsi="宋体" w:cs="宋体"/>
          <w:kern w:val="0"/>
          <w:sz w:val="24"/>
          <w:szCs w:val="24"/>
          <w:lang w:eastAsia="zh-CN"/>
        </w:rPr>
        <w:t>、</w:t>
      </w:r>
      <w:r>
        <w:rPr>
          <w:rFonts w:hint="eastAsia" w:ascii="宋体" w:hAnsi="宋体" w:cs="宋体"/>
          <w:kern w:val="0"/>
          <w:sz w:val="24"/>
          <w:szCs w:val="24"/>
        </w:rPr>
        <w:t>安徽衡宇工程咨询有限公司网（http://www.ahhygczx.com）网站“招标答疑”版块上及时发布，该公告内容为采购文件的组成部分，对供应商具有同样约束力效力。供应商应主动上网查询，供应商须自行承担因未及时关注相关信息而引发的相关责任。</w:t>
      </w:r>
    </w:p>
    <w:p>
      <w:pPr>
        <w:pageBreakBefore w:val="0"/>
        <w:widowControl/>
        <w:wordWrap/>
        <w:overflowPunct/>
        <w:topLinePunct w:val="0"/>
        <w:bidi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3、本项目相关公告在六安市公共资源交易电子服务系统（http://ggzy.luan.gov.cn）网站“交易信息”、“限额以下非必须招标项目”版块、安徽衡宇工程咨询有限公司网（http://www.ahhygczx.com）发布，请各位供应商注意查看有关竞争性磋商公告、答疑澄清等相关文件资料，如不及时查看造成后果由供应商自负。</w:t>
      </w:r>
    </w:p>
    <w:p>
      <w:pPr>
        <w:pageBreakBefore w:val="0"/>
        <w:widowControl/>
        <w:wordWrap/>
        <w:overflowPunct/>
        <w:topLinePunct w:val="0"/>
        <w:bidi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4、严禁恶意低价或恶意高价竞标，对恶意低价或恶意高价竞标的，采购人有权围绕是否为“陪标”拉价格（商务）分值进行调查处理，经查证属实的，其响应资格无效，同时给予限制投标资格等处理。</w:t>
      </w:r>
    </w:p>
    <w:p>
      <w:pPr>
        <w:pStyle w:val="4"/>
        <w:pageBreakBefore w:val="0"/>
        <w:wordWrap/>
        <w:overflowPunct/>
        <w:topLinePunct w:val="0"/>
        <w:bidi w:val="0"/>
        <w:spacing w:beforeLines="50" w:afterLines="50" w:line="500" w:lineRule="exact"/>
        <w:rPr>
          <w:rFonts w:ascii="宋体" w:hAnsi="宋体" w:eastAsia="宋体" w:cs="宋体"/>
          <w:sz w:val="28"/>
          <w:szCs w:val="28"/>
        </w:rPr>
      </w:pPr>
      <w:bookmarkStart w:id="40" w:name="_Toc7807"/>
      <w:bookmarkStart w:id="41" w:name="_Toc21256"/>
      <w:r>
        <w:rPr>
          <w:rFonts w:hint="eastAsia" w:ascii="宋体" w:hAnsi="宋体" w:eastAsia="宋体" w:cs="宋体"/>
          <w:sz w:val="28"/>
          <w:szCs w:val="28"/>
        </w:rPr>
        <w:t>八、凡对本次采购提出询问，请按以下方式联系。</w:t>
      </w:r>
      <w:bookmarkEnd w:id="36"/>
      <w:bookmarkEnd w:id="37"/>
      <w:bookmarkEnd w:id="38"/>
      <w:bookmarkEnd w:id="39"/>
      <w:bookmarkEnd w:id="40"/>
      <w:bookmarkEnd w:id="41"/>
    </w:p>
    <w:p>
      <w:pPr>
        <w:pStyle w:val="4"/>
        <w:pageBreakBefore w:val="0"/>
        <w:wordWrap/>
        <w:overflowPunct/>
        <w:topLinePunct w:val="0"/>
        <w:bidi w:val="0"/>
        <w:adjustRightInd/>
        <w:spacing w:before="0" w:after="0" w:line="500" w:lineRule="exact"/>
        <w:ind w:firstLine="480" w:firstLineChars="200"/>
        <w:jc w:val="both"/>
        <w:textAlignment w:val="auto"/>
        <w:rPr>
          <w:rFonts w:ascii="宋体" w:hAnsi="宋体" w:eastAsia="宋体" w:cs="宋体"/>
          <w:b w:val="0"/>
          <w:bCs/>
          <w:sz w:val="24"/>
          <w:szCs w:val="24"/>
        </w:rPr>
      </w:pPr>
      <w:bookmarkStart w:id="42" w:name="_Toc35393637"/>
      <w:bookmarkStart w:id="43" w:name="_Toc28359096"/>
      <w:bookmarkStart w:id="44" w:name="_Toc12167"/>
      <w:bookmarkStart w:id="45" w:name="_Toc17822"/>
      <w:bookmarkStart w:id="46" w:name="_Toc35393806"/>
      <w:bookmarkStart w:id="47" w:name="_Toc28359019"/>
      <w:r>
        <w:rPr>
          <w:rFonts w:hint="eastAsia" w:ascii="宋体" w:hAnsi="宋体" w:eastAsia="宋体" w:cs="宋体"/>
          <w:b w:val="0"/>
          <w:bCs/>
          <w:sz w:val="24"/>
          <w:szCs w:val="24"/>
        </w:rPr>
        <w:t>1、采购人信息</w:t>
      </w:r>
      <w:bookmarkEnd w:id="42"/>
      <w:bookmarkEnd w:id="43"/>
      <w:bookmarkEnd w:id="44"/>
      <w:bookmarkEnd w:id="45"/>
      <w:bookmarkEnd w:id="46"/>
      <w:bookmarkEnd w:id="47"/>
    </w:p>
    <w:p>
      <w:pPr>
        <w:pageBreakBefore w:val="0"/>
        <w:wordWrap/>
        <w:overflowPunct/>
        <w:topLinePunct w:val="0"/>
        <w:bidi w:val="0"/>
        <w:spacing w:line="500" w:lineRule="exact"/>
        <w:ind w:firstLine="480" w:firstLineChars="200"/>
        <w:rPr>
          <w:rFonts w:ascii="宋体" w:hAnsi="宋体" w:cs="宋体"/>
          <w:bCs/>
          <w:sz w:val="24"/>
          <w:szCs w:val="24"/>
        </w:rPr>
      </w:pPr>
      <w:r>
        <w:rPr>
          <w:rFonts w:hint="eastAsia" w:ascii="宋体" w:hAnsi="宋体" w:cs="宋体"/>
          <w:bCs/>
          <w:sz w:val="24"/>
          <w:szCs w:val="24"/>
        </w:rPr>
        <w:t xml:space="preserve">名    称：霍山县水利工程项目建设中心、安徽大别山水利投资有限公司  </w:t>
      </w:r>
    </w:p>
    <w:p>
      <w:pPr>
        <w:pageBreakBefore w:val="0"/>
        <w:wordWrap/>
        <w:overflowPunct/>
        <w:topLinePunct w:val="0"/>
        <w:bidi w:val="0"/>
        <w:spacing w:line="500" w:lineRule="exact"/>
        <w:ind w:firstLine="480" w:firstLineChars="200"/>
        <w:rPr>
          <w:rFonts w:ascii="宋体" w:hAnsi="宋体" w:cs="宋体"/>
          <w:bCs/>
          <w:sz w:val="24"/>
          <w:szCs w:val="24"/>
        </w:rPr>
      </w:pPr>
      <w:r>
        <w:rPr>
          <w:rFonts w:hint="eastAsia" w:ascii="宋体" w:hAnsi="宋体" w:cs="宋体"/>
          <w:bCs/>
          <w:sz w:val="24"/>
          <w:szCs w:val="24"/>
        </w:rPr>
        <w:t xml:space="preserve">地    址：霍山县衡山镇南岳东路40号  </w:t>
      </w:r>
    </w:p>
    <w:p>
      <w:pPr>
        <w:pageBreakBefore w:val="0"/>
        <w:wordWrap/>
        <w:overflowPunct/>
        <w:topLinePunct w:val="0"/>
        <w:bidi w:val="0"/>
        <w:spacing w:line="500" w:lineRule="exact"/>
        <w:ind w:firstLine="480" w:firstLineChars="200"/>
        <w:rPr>
          <w:rFonts w:ascii="宋体" w:hAnsi="宋体" w:cs="宋体"/>
          <w:bCs/>
          <w:sz w:val="24"/>
          <w:szCs w:val="24"/>
        </w:rPr>
      </w:pPr>
      <w:r>
        <w:rPr>
          <w:rFonts w:hint="eastAsia" w:ascii="宋体" w:hAnsi="宋体" w:cs="宋体"/>
          <w:bCs/>
          <w:sz w:val="24"/>
          <w:szCs w:val="24"/>
        </w:rPr>
        <w:t>联系方式：</w:t>
      </w:r>
      <w:bookmarkStart w:id="48" w:name="_Toc35393807"/>
      <w:bookmarkStart w:id="49" w:name="_Toc28359097"/>
      <w:bookmarkStart w:id="50" w:name="_Toc35393638"/>
      <w:bookmarkStart w:id="51" w:name="_Toc28359020"/>
      <w:r>
        <w:rPr>
          <w:rFonts w:hint="eastAsia" w:ascii="宋体" w:hAnsi="宋体" w:cs="宋体"/>
          <w:bCs/>
          <w:sz w:val="24"/>
          <w:szCs w:val="24"/>
        </w:rPr>
        <w:t>0564-5022504</w:t>
      </w:r>
    </w:p>
    <w:p>
      <w:pPr>
        <w:pageBreakBefore w:val="0"/>
        <w:numPr>
          <w:ilvl w:val="0"/>
          <w:numId w:val="2"/>
        </w:numPr>
        <w:wordWrap/>
        <w:overflowPunct/>
        <w:topLinePunct w:val="0"/>
        <w:bidi w:val="0"/>
        <w:spacing w:line="500" w:lineRule="exact"/>
        <w:ind w:firstLine="480" w:firstLineChars="200"/>
        <w:rPr>
          <w:rFonts w:ascii="宋体" w:hAnsi="宋体" w:cs="宋体"/>
          <w:bCs/>
          <w:sz w:val="24"/>
          <w:szCs w:val="24"/>
        </w:rPr>
      </w:pPr>
      <w:r>
        <w:rPr>
          <w:rFonts w:hint="eastAsia" w:ascii="宋体" w:hAnsi="宋体" w:cs="宋体"/>
          <w:bCs/>
          <w:sz w:val="24"/>
          <w:szCs w:val="24"/>
        </w:rPr>
        <w:t>采购代理机构信息</w:t>
      </w:r>
      <w:bookmarkEnd w:id="48"/>
      <w:bookmarkEnd w:id="49"/>
      <w:bookmarkEnd w:id="50"/>
      <w:bookmarkEnd w:id="51"/>
      <w:bookmarkStart w:id="52" w:name="_Toc28359098"/>
      <w:bookmarkStart w:id="53" w:name="_Toc28359021"/>
      <w:bookmarkStart w:id="54" w:name="_Toc35393808"/>
      <w:bookmarkStart w:id="55" w:name="_Toc35393639"/>
    </w:p>
    <w:p>
      <w:pPr>
        <w:pageBreakBefore w:val="0"/>
        <w:wordWrap/>
        <w:overflowPunct/>
        <w:topLinePunct w:val="0"/>
        <w:bidi w:val="0"/>
        <w:spacing w:line="500" w:lineRule="exact"/>
        <w:ind w:left="420" w:leftChars="200"/>
        <w:rPr>
          <w:rFonts w:ascii="宋体" w:hAnsi="宋体" w:cs="宋体"/>
          <w:bCs/>
          <w:sz w:val="24"/>
          <w:szCs w:val="24"/>
        </w:rPr>
      </w:pPr>
      <w:r>
        <w:rPr>
          <w:rFonts w:hint="eastAsia" w:ascii="宋体" w:hAnsi="宋体" w:cs="宋体"/>
          <w:bCs/>
          <w:sz w:val="24"/>
          <w:szCs w:val="24"/>
        </w:rPr>
        <w:t>名称：安徽衡宇工程咨询有限公司</w:t>
      </w:r>
    </w:p>
    <w:p>
      <w:pPr>
        <w:pageBreakBefore w:val="0"/>
        <w:wordWrap/>
        <w:overflowPunct/>
        <w:topLinePunct w:val="0"/>
        <w:bidi w:val="0"/>
        <w:spacing w:line="500" w:lineRule="exact"/>
        <w:ind w:left="420" w:leftChars="200"/>
        <w:rPr>
          <w:rFonts w:ascii="宋体" w:hAnsi="宋体" w:cs="宋体"/>
          <w:bCs/>
          <w:sz w:val="24"/>
          <w:szCs w:val="24"/>
        </w:rPr>
      </w:pPr>
      <w:r>
        <w:rPr>
          <w:rFonts w:hint="eastAsia" w:ascii="宋体" w:hAnsi="宋体" w:cs="宋体"/>
          <w:bCs/>
          <w:sz w:val="24"/>
          <w:szCs w:val="24"/>
        </w:rPr>
        <w:t xml:space="preserve">地址：霍山县衡山镇中兴南路16号（老建设局大院3楼） </w:t>
      </w:r>
    </w:p>
    <w:p>
      <w:pPr>
        <w:pageBreakBefore w:val="0"/>
        <w:wordWrap/>
        <w:overflowPunct/>
        <w:topLinePunct w:val="0"/>
        <w:bidi w:val="0"/>
        <w:spacing w:line="500" w:lineRule="exact"/>
        <w:ind w:left="420" w:leftChars="200"/>
        <w:rPr>
          <w:rFonts w:ascii="宋体" w:hAnsi="宋体" w:cs="宋体"/>
          <w:bCs/>
          <w:sz w:val="24"/>
          <w:szCs w:val="24"/>
        </w:rPr>
      </w:pPr>
      <w:r>
        <w:rPr>
          <w:rFonts w:hint="eastAsia" w:ascii="宋体" w:hAnsi="宋体" w:cs="宋体"/>
          <w:bCs/>
          <w:sz w:val="24"/>
          <w:szCs w:val="24"/>
        </w:rPr>
        <w:t>联系方式：0564-5029965/18156429779</w:t>
      </w:r>
    </w:p>
    <w:p>
      <w:pPr>
        <w:pageBreakBefore w:val="0"/>
        <w:wordWrap/>
        <w:overflowPunct/>
        <w:topLinePunct w:val="0"/>
        <w:bidi w:val="0"/>
        <w:spacing w:line="500" w:lineRule="exact"/>
        <w:ind w:left="420" w:leftChars="200"/>
        <w:rPr>
          <w:rFonts w:ascii="宋体" w:hAnsi="宋体" w:cs="宋体"/>
          <w:bCs/>
          <w:sz w:val="24"/>
          <w:szCs w:val="24"/>
        </w:rPr>
      </w:pPr>
      <w:r>
        <w:rPr>
          <w:rFonts w:hint="eastAsia" w:ascii="宋体" w:hAnsi="宋体" w:cs="宋体"/>
          <w:bCs/>
          <w:sz w:val="24"/>
          <w:szCs w:val="24"/>
        </w:rPr>
        <w:t>3、项目联系方式</w:t>
      </w:r>
      <w:bookmarkEnd w:id="52"/>
      <w:bookmarkEnd w:id="53"/>
      <w:bookmarkEnd w:id="54"/>
      <w:bookmarkEnd w:id="55"/>
    </w:p>
    <w:p>
      <w:pPr>
        <w:pageBreakBefore w:val="0"/>
        <w:widowControl/>
        <w:wordWrap/>
        <w:overflowPunct/>
        <w:topLinePunct w:val="0"/>
        <w:bidi w:val="0"/>
        <w:spacing w:line="500" w:lineRule="exact"/>
        <w:ind w:firstLine="480" w:firstLineChars="200"/>
        <w:rPr>
          <w:rFonts w:ascii="宋体" w:hAnsi="宋体" w:cs="宋体"/>
          <w:bCs/>
          <w:sz w:val="24"/>
          <w:szCs w:val="24"/>
        </w:rPr>
      </w:pPr>
      <w:r>
        <w:rPr>
          <w:rFonts w:hint="eastAsia" w:ascii="宋体" w:hAnsi="宋体" w:cs="宋体"/>
          <w:bCs/>
          <w:sz w:val="24"/>
          <w:szCs w:val="24"/>
        </w:rPr>
        <w:t>项目联系人：邵工</w:t>
      </w:r>
    </w:p>
    <w:p>
      <w:pPr>
        <w:pageBreakBefore w:val="0"/>
        <w:widowControl/>
        <w:wordWrap/>
        <w:overflowPunct/>
        <w:topLinePunct w:val="0"/>
        <w:bidi w:val="0"/>
        <w:spacing w:line="500" w:lineRule="exact"/>
        <w:ind w:firstLine="480" w:firstLineChars="200"/>
        <w:rPr>
          <w:rFonts w:ascii="宋体" w:hAnsi="宋体" w:cs="宋体"/>
          <w:bCs/>
          <w:sz w:val="24"/>
          <w:szCs w:val="24"/>
        </w:rPr>
      </w:pPr>
      <w:r>
        <w:rPr>
          <w:rFonts w:hint="eastAsia" w:ascii="宋体" w:hAnsi="宋体" w:cs="宋体"/>
          <w:bCs/>
          <w:sz w:val="24"/>
          <w:szCs w:val="24"/>
        </w:rPr>
        <w:t>电　 话：0564-5029965/18156429779</w:t>
      </w:r>
    </w:p>
    <w:p>
      <w:pPr>
        <w:pageBreakBefore w:val="0"/>
        <w:wordWrap/>
        <w:overflowPunct/>
        <w:topLinePunct w:val="0"/>
        <w:bidi w:val="0"/>
        <w:spacing w:line="500" w:lineRule="exact"/>
        <w:jc w:val="right"/>
        <w:rPr>
          <w:rFonts w:ascii="宋体" w:hAnsi="宋体" w:cs="宋体"/>
          <w:bCs/>
          <w:color w:val="FF0000"/>
          <w:sz w:val="24"/>
          <w:szCs w:val="24"/>
        </w:rPr>
      </w:pPr>
    </w:p>
    <w:p>
      <w:pPr>
        <w:pageBreakBefore w:val="0"/>
        <w:wordWrap/>
        <w:overflowPunct/>
        <w:topLinePunct w:val="0"/>
        <w:bidi w:val="0"/>
        <w:spacing w:line="500" w:lineRule="exact"/>
        <w:jc w:val="right"/>
        <w:rPr>
          <w:rFonts w:ascii="宋体" w:hAnsi="宋体" w:cs="宋体"/>
          <w:bCs/>
          <w:color w:val="FF0000"/>
          <w:sz w:val="24"/>
          <w:szCs w:val="24"/>
        </w:rPr>
      </w:pPr>
      <w:r>
        <w:rPr>
          <w:rFonts w:hint="eastAsia" w:ascii="宋体" w:hAnsi="宋体" w:cs="宋体"/>
          <w:bCs/>
          <w:sz w:val="24"/>
          <w:szCs w:val="24"/>
        </w:rPr>
        <w:t>2023年03月</w:t>
      </w:r>
      <w:r>
        <w:rPr>
          <w:rFonts w:hint="eastAsia" w:ascii="宋体" w:hAnsi="宋体" w:cs="宋体"/>
          <w:bCs/>
          <w:sz w:val="24"/>
          <w:szCs w:val="24"/>
          <w:lang w:val="en-US" w:eastAsia="zh-CN"/>
        </w:rPr>
        <w:t>15</w:t>
      </w:r>
      <w:r>
        <w:rPr>
          <w:rFonts w:hint="eastAsia" w:ascii="宋体" w:hAnsi="宋体" w:cs="宋体"/>
          <w:bCs/>
          <w:sz w:val="24"/>
          <w:szCs w:val="24"/>
        </w:rPr>
        <w:t>日</w:t>
      </w:r>
    </w:p>
    <w:p>
      <w:pPr>
        <w:rPr>
          <w:rFonts w:ascii="宋体" w:hAnsi="宋体" w:cs="宋体"/>
          <w:sz w:val="28"/>
          <w:szCs w:val="28"/>
        </w:rPr>
      </w:pPr>
      <w:r>
        <w:rPr>
          <w:rFonts w:hint="eastAsia" w:ascii="宋体" w:hAnsi="宋体" w:cs="宋体"/>
          <w:sz w:val="28"/>
          <w:szCs w:val="28"/>
        </w:rPr>
        <w:br w:type="page"/>
      </w:r>
    </w:p>
    <w:p>
      <w:pPr>
        <w:pStyle w:val="4"/>
        <w:spacing w:beforeLines="50" w:afterLines="50" w:line="560" w:lineRule="exact"/>
        <w:jc w:val="center"/>
        <w:rPr>
          <w:rFonts w:ascii="宋体" w:hAnsi="宋体" w:eastAsia="宋体" w:cs="宋体"/>
          <w:sz w:val="28"/>
          <w:szCs w:val="28"/>
        </w:rPr>
      </w:pPr>
      <w:bookmarkStart w:id="56" w:name="_Toc21819"/>
      <w:r>
        <w:rPr>
          <w:rFonts w:hint="eastAsia" w:ascii="宋体" w:hAnsi="宋体" w:eastAsia="宋体" w:cs="宋体"/>
          <w:sz w:val="28"/>
          <w:szCs w:val="28"/>
        </w:rPr>
        <w:t>一、供应商须知</w:t>
      </w:r>
      <w:bookmarkEnd w:id="2"/>
      <w:bookmarkEnd w:id="3"/>
      <w:bookmarkEnd w:id="56"/>
    </w:p>
    <w:p>
      <w:pPr>
        <w:pStyle w:val="4"/>
        <w:spacing w:before="0" w:after="0" w:line="560" w:lineRule="exact"/>
        <w:jc w:val="center"/>
        <w:rPr>
          <w:rFonts w:ascii="宋体" w:hAnsi="宋体" w:eastAsia="宋体" w:cs="宋体"/>
          <w:sz w:val="24"/>
          <w:szCs w:val="24"/>
        </w:rPr>
      </w:pPr>
      <w:bookmarkStart w:id="57" w:name="_Toc22568"/>
      <w:r>
        <w:rPr>
          <w:rFonts w:hint="eastAsia" w:ascii="宋体" w:hAnsi="宋体" w:eastAsia="宋体" w:cs="宋体"/>
          <w:sz w:val="24"/>
          <w:szCs w:val="24"/>
        </w:rPr>
        <w:t>（一）须知前附表</w:t>
      </w:r>
      <w:bookmarkEnd w:id="57"/>
    </w:p>
    <w:tbl>
      <w:tblPr>
        <w:tblStyle w:val="37"/>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spacing w:line="440" w:lineRule="exact"/>
              <w:jc w:val="center"/>
              <w:rPr>
                <w:rFonts w:ascii="宋体" w:hAnsi="宋体"/>
                <w:b/>
                <w:sz w:val="24"/>
                <w:szCs w:val="24"/>
              </w:rPr>
            </w:pPr>
            <w:bookmarkStart w:id="58" w:name="_Toc438107743"/>
            <w:bookmarkStart w:id="59" w:name="_Toc363199267"/>
            <w:bookmarkStart w:id="60" w:name="_Toc216158627"/>
            <w:r>
              <w:rPr>
                <w:rFonts w:hint="eastAsia" w:ascii="宋体" w:hAnsi="宋体"/>
                <w:b/>
                <w:sz w:val="24"/>
                <w:szCs w:val="24"/>
              </w:rPr>
              <w:t>序号</w:t>
            </w:r>
          </w:p>
        </w:tc>
        <w:tc>
          <w:tcPr>
            <w:tcW w:w="1502"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pPr>
              <w:pStyle w:val="99"/>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308" w:type="dxa"/>
            <w:vAlign w:val="center"/>
          </w:tcPr>
          <w:p>
            <w:pPr>
              <w:spacing w:line="440" w:lineRule="exact"/>
              <w:rPr>
                <w:sz w:val="24"/>
                <w:szCs w:val="24"/>
              </w:rPr>
            </w:pPr>
            <w:r>
              <w:rPr>
                <w:rFonts w:hint="eastAsia"/>
                <w:sz w:val="24"/>
                <w:szCs w:val="24"/>
              </w:rPr>
              <w:t>霍山县水利工程项目建设中心、安徽大别山水利投资有限公司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308" w:type="dxa"/>
            <w:vAlign w:val="center"/>
          </w:tcPr>
          <w:p>
            <w:pPr>
              <w:spacing w:line="440" w:lineRule="exact"/>
              <w:jc w:val="left"/>
              <w:rPr>
                <w:rFonts w:ascii="宋体" w:hAnsi="宋体"/>
                <w:sz w:val="24"/>
                <w:szCs w:val="24"/>
              </w:rPr>
            </w:pPr>
            <w:r>
              <w:rPr>
                <w:rFonts w:hint="eastAsia" w:ascii="宋体" w:hAnsi="宋体"/>
                <w:sz w:val="24"/>
                <w:szCs w:val="24"/>
              </w:rPr>
              <w:t xml:space="preserve">名称：安徽衡宇工程咨询有限公司 </w:t>
            </w:r>
          </w:p>
          <w:p>
            <w:pPr>
              <w:spacing w:line="440" w:lineRule="exact"/>
              <w:jc w:val="left"/>
              <w:rPr>
                <w:b/>
                <w:bCs/>
                <w:sz w:val="24"/>
                <w:szCs w:val="24"/>
              </w:rPr>
            </w:pPr>
            <w:r>
              <w:rPr>
                <w:rFonts w:hint="eastAsia" w:ascii="宋体" w:hAnsi="宋体"/>
                <w:sz w:val="24"/>
                <w:szCs w:val="24"/>
              </w:rPr>
              <w:t>地址：霍山县衡山镇中兴南路16号（老建设局大院3楼）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磋商有效期</w:t>
            </w:r>
          </w:p>
        </w:tc>
        <w:tc>
          <w:tcPr>
            <w:tcW w:w="7308" w:type="dxa"/>
            <w:vAlign w:val="center"/>
          </w:tcPr>
          <w:p>
            <w:pPr>
              <w:pStyle w:val="99"/>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pPr>
              <w:spacing w:line="440" w:lineRule="exact"/>
              <w:jc w:val="center"/>
              <w:rPr>
                <w:rFonts w:ascii="宋体" w:hAnsi="宋体"/>
                <w:b/>
                <w:sz w:val="24"/>
                <w:szCs w:val="24"/>
              </w:rPr>
            </w:pPr>
            <w:r>
              <w:rPr>
                <w:rFonts w:hint="eastAsia" w:ascii="宋体" w:hAnsi="宋体"/>
                <w:bCs/>
                <w:sz w:val="24"/>
                <w:szCs w:val="24"/>
              </w:rPr>
              <w:t>项目类型</w:t>
            </w:r>
          </w:p>
        </w:tc>
        <w:tc>
          <w:tcPr>
            <w:tcW w:w="7308" w:type="dxa"/>
            <w:vAlign w:val="center"/>
          </w:tcPr>
          <w:p>
            <w:pPr>
              <w:pStyle w:val="99"/>
              <w:widowControl w:val="0"/>
              <w:spacing w:before="0" w:beforeAutospacing="0" w:after="0" w:afterAutospacing="0" w:line="440" w:lineRule="exact"/>
              <w:jc w:val="both"/>
              <w:rPr>
                <w:b w:val="0"/>
                <w:bCs w:val="0"/>
                <w:sz w:val="24"/>
                <w:szCs w:val="24"/>
              </w:rPr>
            </w:pPr>
            <w:r>
              <w:rPr>
                <w:rFonts w:hint="eastAsia"/>
                <w:b w:val="0"/>
                <w:bCs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308" w:type="dxa"/>
            <w:vAlign w:val="center"/>
          </w:tcPr>
          <w:p>
            <w:pPr>
              <w:pStyle w:val="99"/>
              <w:widowControl w:val="0"/>
              <w:spacing w:before="0" w:beforeAutospacing="0" w:after="0" w:afterAutospacing="0" w:line="440" w:lineRule="exact"/>
              <w:jc w:val="both"/>
              <w:rPr>
                <w:sz w:val="24"/>
                <w:szCs w:val="24"/>
              </w:rPr>
            </w:pPr>
            <w:r>
              <w:rPr>
                <w:rFonts w:hint="eastAsia"/>
                <w:b w:val="0"/>
                <w:bCs w:val="0"/>
                <w:sz w:val="24"/>
                <w:szCs w:val="24"/>
              </w:rPr>
              <w:t>霍山县2023年小型病险水库除险加固工程监理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308" w:type="dxa"/>
            <w:vAlign w:val="center"/>
          </w:tcPr>
          <w:p>
            <w:pPr>
              <w:spacing w:line="440" w:lineRule="exact"/>
              <w:jc w:val="left"/>
              <w:rPr>
                <w:rFonts w:hint="eastAsia" w:ascii="宋体" w:hAnsi="宋体" w:eastAsia="宋体"/>
                <w:sz w:val="24"/>
                <w:szCs w:val="24"/>
                <w:lang w:eastAsia="zh-CN"/>
              </w:rPr>
            </w:pPr>
            <w:r>
              <w:rPr>
                <w:rFonts w:hint="eastAsia" w:ascii="宋体" w:hAnsi="宋体"/>
                <w:sz w:val="24"/>
                <w:szCs w:val="24"/>
                <w:lang w:eastAsia="zh-CN"/>
              </w:rPr>
              <w:t>AHHYZX-2023006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29"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付款方式</w:t>
            </w:r>
          </w:p>
        </w:tc>
        <w:tc>
          <w:tcPr>
            <w:tcW w:w="7308" w:type="dxa"/>
            <w:vAlign w:val="center"/>
          </w:tcPr>
          <w:p>
            <w:pPr>
              <w:pStyle w:val="99"/>
              <w:widowControl w:val="0"/>
              <w:spacing w:before="0" w:beforeAutospacing="0" w:after="0" w:afterAutospacing="0" w:line="440" w:lineRule="exact"/>
              <w:jc w:val="both"/>
              <w:rPr>
                <w:rFonts w:ascii="黑体" w:hAnsi="黑体" w:eastAsia="黑体" w:cs="黑体"/>
                <w:sz w:val="24"/>
                <w:szCs w:val="24"/>
              </w:rPr>
            </w:pPr>
            <w:r>
              <w:rPr>
                <w:rFonts w:hint="eastAsia"/>
                <w:b w:val="0"/>
                <w:bCs w:val="0"/>
                <w:kern w:val="2"/>
                <w:sz w:val="24"/>
                <w:szCs w:val="24"/>
              </w:rPr>
              <w:t>按工程进度付款，具体以合同签订为准。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49"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服务期</w:t>
            </w:r>
          </w:p>
        </w:tc>
        <w:tc>
          <w:tcPr>
            <w:tcW w:w="7308" w:type="dxa"/>
            <w:vAlign w:val="center"/>
          </w:tcPr>
          <w:p>
            <w:pPr>
              <w:widowControl/>
              <w:spacing w:line="520" w:lineRule="exact"/>
              <w:rPr>
                <w:sz w:val="24"/>
                <w:szCs w:val="24"/>
              </w:rPr>
            </w:pPr>
            <w:r>
              <w:rPr>
                <w:rFonts w:hint="eastAsia" w:ascii="宋体" w:hAnsi="宋体"/>
                <w:sz w:val="24"/>
                <w:szCs w:val="24"/>
              </w:rPr>
              <w:t>自监理合同签订之日起，至缺陷责任期结束。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9</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rPr>
              <w:t>中标服务费</w:t>
            </w:r>
          </w:p>
        </w:tc>
        <w:tc>
          <w:tcPr>
            <w:tcW w:w="7308" w:type="dxa"/>
            <w:vAlign w:val="center"/>
          </w:tcPr>
          <w:p>
            <w:pPr>
              <w:pStyle w:val="97"/>
              <w:pBdr>
                <w:bottom w:val="none" w:color="auto" w:sz="0" w:space="0"/>
              </w:pBdr>
              <w:tabs>
                <w:tab w:val="clear" w:pos="4153"/>
                <w:tab w:val="clear" w:pos="8306"/>
              </w:tabs>
              <w:adjustRightInd/>
              <w:spacing w:line="440" w:lineRule="exact"/>
              <w:jc w:val="left"/>
              <w:textAlignment w:val="auto"/>
              <w:rPr>
                <w:bCs/>
                <w:szCs w:val="24"/>
                <w:lang w:val="en-US"/>
              </w:rPr>
            </w:pPr>
            <w:r>
              <w:rPr>
                <w:rFonts w:hint="eastAsia" w:ascii="宋体" w:hAnsi="宋体" w:cs="宋体"/>
                <w:szCs w:val="24"/>
              </w:rPr>
              <w:t>成交供应商须向采购代理机构交纳代理服务费、评审费；代理服务费以成交价为基数按国家收费标准计取，</w:t>
            </w:r>
            <w:r>
              <w:rPr>
                <w:rFonts w:hint="eastAsia" w:ascii="宋体" w:hAnsi="宋体" w:cs="仿宋_GB2312"/>
                <w:szCs w:val="24"/>
              </w:rPr>
              <w:t>评审费据实结算，由成交人支付，成交人在领取成交通知书时一次性支付。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38"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履约保证金</w:t>
            </w:r>
          </w:p>
        </w:tc>
        <w:tc>
          <w:tcPr>
            <w:tcW w:w="7308" w:type="dxa"/>
            <w:vAlign w:val="center"/>
          </w:tcPr>
          <w:p>
            <w:pPr>
              <w:pStyle w:val="97"/>
              <w:pBdr>
                <w:bottom w:val="none" w:color="auto" w:sz="0" w:space="0"/>
              </w:pBdr>
              <w:tabs>
                <w:tab w:val="clear" w:pos="4153"/>
                <w:tab w:val="clear" w:pos="8306"/>
              </w:tabs>
              <w:adjustRightInd/>
              <w:spacing w:line="460" w:lineRule="exact"/>
              <w:jc w:val="both"/>
              <w:rPr>
                <w:rFonts w:ascii="宋体" w:hAnsi="宋体" w:cs="宋体"/>
                <w:szCs w:val="24"/>
              </w:rPr>
            </w:pPr>
            <w:r>
              <w:rPr>
                <w:rFonts w:hint="eastAsia" w:ascii="宋体" w:hAnsi="宋体" w:cs="宋体"/>
                <w:szCs w:val="24"/>
              </w:rPr>
              <w:t>成交人可以通过转账、网银支付、汇票、支票、保证保险、银行履约保函（含电子保函）等方式提交履约保证金。</w:t>
            </w:r>
          </w:p>
          <w:p>
            <w:pPr>
              <w:pStyle w:val="97"/>
              <w:pBdr>
                <w:bottom w:val="none" w:color="auto" w:sz="0" w:space="0"/>
              </w:pBdr>
              <w:tabs>
                <w:tab w:val="clear" w:pos="4153"/>
                <w:tab w:val="clear" w:pos="8306"/>
              </w:tabs>
              <w:adjustRightInd/>
              <w:spacing w:line="460" w:lineRule="exact"/>
              <w:jc w:val="both"/>
              <w:rPr>
                <w:rFonts w:ascii="宋体" w:hAnsi="宋体" w:cs="宋体"/>
                <w:szCs w:val="24"/>
              </w:rPr>
            </w:pPr>
            <w:r>
              <w:rPr>
                <w:rFonts w:hint="eastAsia" w:ascii="宋体" w:hAnsi="宋体" w:cs="宋体"/>
                <w:szCs w:val="24"/>
              </w:rPr>
              <w:t>履约保证金数额：成交价的2％。</w:t>
            </w:r>
          </w:p>
          <w:p>
            <w:pPr>
              <w:pStyle w:val="97"/>
              <w:pBdr>
                <w:bottom w:val="none" w:color="auto" w:sz="0" w:space="0"/>
              </w:pBdr>
              <w:tabs>
                <w:tab w:val="clear" w:pos="4153"/>
                <w:tab w:val="clear" w:pos="8306"/>
              </w:tabs>
              <w:adjustRightInd/>
              <w:spacing w:line="460" w:lineRule="exact"/>
              <w:jc w:val="both"/>
              <w:rPr>
                <w:rFonts w:ascii="宋体" w:hAnsi="宋体" w:cs="宋体"/>
                <w:szCs w:val="24"/>
              </w:rPr>
            </w:pPr>
            <w:r>
              <w:rPr>
                <w:rFonts w:hint="eastAsia" w:ascii="宋体" w:hAnsi="宋体" w:cs="宋体"/>
                <w:szCs w:val="24"/>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97"/>
              <w:pBdr>
                <w:bottom w:val="none" w:color="auto" w:sz="0" w:space="0"/>
              </w:pBdr>
              <w:tabs>
                <w:tab w:val="clear" w:pos="4153"/>
                <w:tab w:val="clear" w:pos="8306"/>
              </w:tabs>
              <w:adjustRightInd/>
              <w:spacing w:line="460" w:lineRule="exact"/>
              <w:ind w:firstLine="240" w:firstLineChars="100"/>
              <w:jc w:val="both"/>
              <w:rPr>
                <w:rFonts w:ascii="宋体" w:hAnsi="宋体" w:cs="宋体"/>
                <w:szCs w:val="24"/>
              </w:rPr>
            </w:pPr>
            <w:r>
              <w:rPr>
                <w:rFonts w:hint="eastAsia" w:ascii="宋体" w:hAnsi="宋体" w:cs="宋体"/>
                <w:szCs w:val="24"/>
              </w:rPr>
              <w:t>提交时限：签订合同前提交。</w:t>
            </w:r>
          </w:p>
          <w:p>
            <w:pPr>
              <w:pStyle w:val="97"/>
              <w:pBdr>
                <w:bottom w:val="none" w:color="auto" w:sz="0" w:space="0"/>
              </w:pBdr>
              <w:tabs>
                <w:tab w:val="clear" w:pos="4153"/>
                <w:tab w:val="clear" w:pos="8306"/>
              </w:tabs>
              <w:adjustRightInd/>
              <w:spacing w:line="460" w:lineRule="exact"/>
              <w:ind w:firstLine="240" w:firstLineChars="100"/>
              <w:jc w:val="both"/>
              <w:rPr>
                <w:rFonts w:ascii="宋体" w:hAnsi="宋体" w:cs="宋体"/>
                <w:szCs w:val="24"/>
              </w:rPr>
            </w:pPr>
            <w:r>
              <w:rPr>
                <w:rFonts w:hint="eastAsia" w:ascii="宋体" w:hAnsi="宋体" w:cs="宋体"/>
                <w:szCs w:val="24"/>
              </w:rPr>
              <w:t>开户行：</w:t>
            </w:r>
            <w:r>
              <w:rPr>
                <w:rFonts w:hint="eastAsia" w:ascii="宋体" w:hAnsi="宋体" w:cs="宋体"/>
                <w:szCs w:val="24"/>
                <w:lang w:val="en-US"/>
              </w:rPr>
              <w:t>签订合同前由采购人提供</w:t>
            </w:r>
            <w:r>
              <w:rPr>
                <w:rFonts w:hint="eastAsia" w:ascii="宋体" w:hAnsi="宋体" w:cs="宋体"/>
                <w:szCs w:val="24"/>
              </w:rPr>
              <w:t>     </w:t>
            </w:r>
          </w:p>
          <w:p>
            <w:pPr>
              <w:pStyle w:val="97"/>
              <w:pBdr>
                <w:bottom w:val="none" w:color="auto" w:sz="0" w:space="0"/>
              </w:pBdr>
              <w:tabs>
                <w:tab w:val="clear" w:pos="4153"/>
                <w:tab w:val="clear" w:pos="8306"/>
              </w:tabs>
              <w:adjustRightInd/>
              <w:spacing w:line="460" w:lineRule="exact"/>
              <w:ind w:left="239" w:leftChars="114"/>
              <w:jc w:val="both"/>
              <w:rPr>
                <w:rFonts w:ascii="宋体" w:hAnsi="宋体" w:cs="宋体"/>
                <w:szCs w:val="24"/>
                <w:lang w:val="en-US"/>
              </w:rPr>
            </w:pPr>
            <w:r>
              <w:rPr>
                <w:rFonts w:hint="eastAsia" w:ascii="宋体" w:hAnsi="宋体" w:cs="宋体"/>
                <w:szCs w:val="24"/>
              </w:rPr>
              <w:t>开户名：</w:t>
            </w:r>
            <w:r>
              <w:rPr>
                <w:rFonts w:hint="eastAsia" w:ascii="宋体" w:hAnsi="宋体" w:cs="宋体"/>
                <w:szCs w:val="24"/>
                <w:lang w:val="en-US"/>
              </w:rPr>
              <w:t>签订合同前由采购人提供</w:t>
            </w:r>
          </w:p>
          <w:p>
            <w:pPr>
              <w:pStyle w:val="97"/>
              <w:pBdr>
                <w:bottom w:val="none" w:color="auto" w:sz="0" w:space="0"/>
              </w:pBdr>
              <w:tabs>
                <w:tab w:val="clear" w:pos="4153"/>
                <w:tab w:val="clear" w:pos="8306"/>
              </w:tabs>
              <w:adjustRightInd/>
              <w:spacing w:line="460" w:lineRule="exact"/>
              <w:ind w:left="239" w:leftChars="114"/>
              <w:jc w:val="both"/>
              <w:rPr>
                <w:rFonts w:ascii="宋体" w:hAnsi="宋体" w:cs="宋体"/>
                <w:szCs w:val="24"/>
              </w:rPr>
            </w:pPr>
            <w:r>
              <w:rPr>
                <w:rFonts w:hint="eastAsia" w:ascii="宋体" w:hAnsi="宋体" w:cs="宋体"/>
                <w:szCs w:val="24"/>
              </w:rPr>
              <w:t>账 户：</w:t>
            </w:r>
            <w:r>
              <w:rPr>
                <w:rFonts w:hint="eastAsia" w:ascii="宋体" w:hAnsi="宋体" w:cs="宋体"/>
                <w:szCs w:val="24"/>
                <w:lang w:val="en-US"/>
              </w:rPr>
              <w:t>签订合同前由采购人提供</w:t>
            </w:r>
          </w:p>
          <w:p>
            <w:pPr>
              <w:pStyle w:val="35"/>
              <w:ind w:firstLine="0"/>
            </w:pPr>
            <w:r>
              <w:rPr>
                <w:rFonts w:hint="eastAsia" w:ascii="宋体" w:hAnsi="宋体"/>
                <w:bCs/>
                <w:szCs w:val="24"/>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11</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308" w:type="dxa"/>
            <w:vAlign w:val="center"/>
          </w:tcPr>
          <w:p>
            <w:pPr>
              <w:pStyle w:val="97"/>
              <w:pBdr>
                <w:bottom w:val="none" w:color="auto" w:sz="0" w:space="0"/>
              </w:pBdr>
              <w:tabs>
                <w:tab w:val="clear" w:pos="4153"/>
                <w:tab w:val="clear" w:pos="8306"/>
              </w:tabs>
              <w:adjustRightInd/>
              <w:spacing w:line="40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30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color w:val="000000" w:themeColor="text1"/>
                <w:kern w:val="2"/>
                <w:szCs w:val="24"/>
              </w:rPr>
            </w:pPr>
            <w:r>
              <w:rPr>
                <w:rFonts w:hint="eastAsia" w:ascii="宋体" w:hAnsi="宋体" w:cs="宋体"/>
                <w:szCs w:val="24"/>
              </w:rPr>
              <w:t>以书面形式递交，递交至邮箱</w:t>
            </w:r>
            <w:r>
              <w:rPr>
                <w:rFonts w:hint="eastAsia" w:ascii="宋体" w:hAnsi="宋体" w:cs="宋体"/>
                <w:szCs w:val="24"/>
                <w:lang w:val="en-US"/>
              </w:rPr>
              <w:t>68535176</w:t>
            </w:r>
            <w:r>
              <w:rPr>
                <w:rFonts w:hint="eastAsia" w:ascii="宋体" w:hAnsi="宋体" w:cs="宋体"/>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30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szCs w:val="24"/>
              </w:rPr>
              <w:t>以书面形式递交，递交至邮箱</w:t>
            </w:r>
            <w:r>
              <w:rPr>
                <w:rFonts w:hint="eastAsia" w:ascii="宋体" w:hAnsi="宋体" w:cs="宋体"/>
                <w:szCs w:val="24"/>
                <w:lang w:val="en-US"/>
              </w:rPr>
              <w:t>68535176</w:t>
            </w:r>
            <w:r>
              <w:rPr>
                <w:rFonts w:hint="eastAsia" w:ascii="宋体" w:hAnsi="宋体" w:cs="宋体"/>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rPr>
              <w:t>3</w:t>
            </w:r>
            <w:r>
              <w:rPr>
                <w:rFonts w:hint="eastAsia" w:ascii="宋体" w:hAnsi="宋体"/>
                <w:szCs w:val="24"/>
              </w:rPr>
              <w:t>份</w:t>
            </w:r>
          </w:p>
          <w:p>
            <w:pPr>
              <w:pStyle w:val="97"/>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p>
          <w:p>
            <w:pPr>
              <w:pStyle w:val="97"/>
              <w:numPr>
                <w:ilvl w:val="0"/>
                <w:numId w:val="3"/>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w:t>
            </w:r>
            <w:r>
              <w:rPr>
                <w:rFonts w:hint="eastAsia" w:ascii="宋体" w:hAnsi="宋体"/>
                <w:szCs w:val="24"/>
                <w:lang w:val="en-US"/>
              </w:rPr>
              <w:t>胶装</w:t>
            </w:r>
            <w:r>
              <w:rPr>
                <w:rFonts w:hint="eastAsia" w:ascii="宋体" w:hAnsi="宋体"/>
                <w:szCs w:val="24"/>
              </w:rPr>
              <w:t>装订、分装、标记和密封，采购人和代理机构不承担提前开封的责任。</w:t>
            </w:r>
          </w:p>
          <w:p>
            <w:pPr>
              <w:pStyle w:val="97"/>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3、</w:t>
            </w:r>
            <w:r>
              <w:rPr>
                <w:rFonts w:hint="eastAsia" w:ascii="宋体" w:hAnsi="宋体"/>
                <w:szCs w:val="24"/>
              </w:rPr>
              <w:t>响应文件正本与副本分开包装密封提交，</w:t>
            </w:r>
            <w:r>
              <w:rPr>
                <w:rFonts w:hint="eastAsia" w:ascii="宋体" w:hAnsi="宋体"/>
                <w:szCs w:val="24"/>
                <w:lang w:val="en-US"/>
              </w:rPr>
              <w:t>共2个密封袋</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502" w:type="dxa"/>
            <w:vAlign w:val="center"/>
          </w:tcPr>
          <w:p>
            <w:pPr>
              <w:spacing w:line="480" w:lineRule="exact"/>
              <w:rPr>
                <w:rFonts w:ascii="宋体" w:hAnsi="宋体"/>
                <w:bCs/>
                <w:szCs w:val="24"/>
              </w:rPr>
            </w:pPr>
            <w:r>
              <w:rPr>
                <w:rFonts w:hint="eastAsia" w:ascii="宋体" w:hAnsi="宋体"/>
                <w:sz w:val="24"/>
                <w:szCs w:val="24"/>
              </w:rPr>
              <w:t>封套上应载明的信息</w:t>
            </w:r>
          </w:p>
        </w:tc>
        <w:tc>
          <w:tcPr>
            <w:tcW w:w="7308" w:type="dxa"/>
            <w:vAlign w:val="center"/>
          </w:tcPr>
          <w:p>
            <w:pPr>
              <w:spacing w:line="560" w:lineRule="exact"/>
              <w:rPr>
                <w:sz w:val="24"/>
                <w:szCs w:val="24"/>
                <w:u w:val="single"/>
              </w:rPr>
            </w:pPr>
            <w:r>
              <w:rPr>
                <w:rFonts w:hint="eastAsia" w:ascii="宋体" w:hAnsi="宋体" w:cs="宋体"/>
                <w:sz w:val="24"/>
                <w:szCs w:val="24"/>
                <w:shd w:val="clear" w:color="auto" w:fill="FFFFFF"/>
              </w:rPr>
              <w:t>项目响应</w:t>
            </w:r>
            <w:r>
              <w:rPr>
                <w:rFonts w:hint="eastAsia" w:ascii="宋体" w:hAnsi="宋体"/>
                <w:sz w:val="24"/>
                <w:szCs w:val="24"/>
              </w:rPr>
              <w:t xml:space="preserve">文件    </w:t>
            </w:r>
            <w:r>
              <w:rPr>
                <w:rFonts w:hint="eastAsia" w:hAnsi="宋体"/>
                <w:sz w:val="24"/>
                <w:szCs w:val="24"/>
              </w:rPr>
              <w:t>（正本/副本）</w:t>
            </w:r>
          </w:p>
          <w:p>
            <w:pPr>
              <w:spacing w:line="480" w:lineRule="exact"/>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05"/>
              <w:spacing w:line="480" w:lineRule="exact"/>
              <w:ind w:right="2858"/>
              <w:rPr>
                <w:sz w:val="24"/>
                <w:szCs w:val="24"/>
                <w:u w:val="single"/>
              </w:rPr>
            </w:pPr>
            <w:r>
              <w:rPr>
                <w:rFonts w:hint="eastAsia"/>
                <w:sz w:val="24"/>
                <w:szCs w:val="24"/>
              </w:rPr>
              <w:t>供应商名称：</w:t>
            </w:r>
          </w:p>
          <w:p>
            <w:pPr>
              <w:pStyle w:val="105"/>
              <w:spacing w:line="480" w:lineRule="exact"/>
              <w:ind w:right="2858"/>
              <w:rPr>
                <w:rFonts w:ascii="宋体" w:hAnsi="宋体"/>
                <w:bCs/>
                <w:szCs w:val="24"/>
              </w:rPr>
            </w:pPr>
            <w:r>
              <w:rPr>
                <w:rFonts w:hint="eastAsia"/>
                <w:sz w:val="24"/>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lang w:val="en-US"/>
              </w:rPr>
              <w:t>磋商时间（</w:t>
            </w:r>
            <w:r>
              <w:rPr>
                <w:rFonts w:hint="eastAsia" w:ascii="宋体" w:hAnsi="宋体"/>
                <w:bCs/>
                <w:kern w:val="2"/>
                <w:szCs w:val="24"/>
              </w:rPr>
              <w:t>响应截止时间</w:t>
            </w:r>
            <w:r>
              <w:rPr>
                <w:rFonts w:hint="eastAsia" w:ascii="宋体" w:hAnsi="宋体"/>
                <w:bCs/>
                <w:kern w:val="2"/>
                <w:szCs w:val="24"/>
                <w:lang w:val="en-US"/>
              </w:rPr>
              <w:t>）及地点</w:t>
            </w:r>
          </w:p>
        </w:tc>
        <w:tc>
          <w:tcPr>
            <w:tcW w:w="7308" w:type="dxa"/>
            <w:vAlign w:val="center"/>
          </w:tcPr>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lang w:val="en-US"/>
              </w:rPr>
              <w:t>磋商时间（</w:t>
            </w:r>
            <w:r>
              <w:rPr>
                <w:rFonts w:hint="eastAsia" w:ascii="宋体" w:hAnsi="宋体"/>
                <w:bCs/>
                <w:kern w:val="2"/>
                <w:szCs w:val="24"/>
              </w:rPr>
              <w:t>响应截止时间</w:t>
            </w:r>
            <w:r>
              <w:rPr>
                <w:rFonts w:hint="eastAsia" w:ascii="宋体" w:hAnsi="宋体"/>
                <w:bCs/>
                <w:kern w:val="2"/>
                <w:szCs w:val="24"/>
                <w:lang w:val="en-US"/>
              </w:rPr>
              <w:t>）：</w:t>
            </w:r>
            <w:r>
              <w:rPr>
                <w:rFonts w:hint="eastAsia" w:ascii="宋体" w:hAnsi="宋体" w:cs="宋体"/>
                <w:color w:val="auto"/>
                <w:sz w:val="24"/>
                <w:szCs w:val="24"/>
              </w:rPr>
              <w:t>2023年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3</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24 </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9</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点</w:t>
            </w:r>
            <w:r>
              <w:rPr>
                <w:rFonts w:hint="eastAsia" w:ascii="宋体" w:hAnsi="宋体" w:cs="宋体"/>
                <w:color w:val="auto"/>
                <w:sz w:val="24"/>
                <w:szCs w:val="24"/>
                <w:u w:val="single"/>
                <w:lang w:val="en-US" w:eastAsia="zh-CN"/>
              </w:rPr>
              <w:t xml:space="preserve"> 3</w:t>
            </w:r>
            <w:r>
              <w:rPr>
                <w:rFonts w:hint="eastAsia" w:ascii="宋体" w:hAnsi="宋体" w:cs="宋体"/>
                <w:color w:val="auto"/>
                <w:sz w:val="24"/>
                <w:szCs w:val="24"/>
                <w:u w:val="single"/>
              </w:rPr>
              <w:t>0</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分</w:t>
            </w:r>
            <w:r>
              <w:rPr>
                <w:rFonts w:hint="eastAsia" w:ascii="宋体" w:hAnsi="宋体"/>
                <w:bCs/>
                <w:kern w:val="2"/>
                <w:szCs w:val="24"/>
              </w:rPr>
              <w:t>（北京时间）</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地点：</w:t>
            </w:r>
            <w:r>
              <w:rPr>
                <w:rFonts w:hint="eastAsia" w:ascii="宋体" w:hAnsi="宋体" w:cs="宋体"/>
                <w:szCs w:val="24"/>
              </w:rPr>
              <w:t>安徽衡宇工程咨询有限公司二楼开标厅（中兴南路16号，老建设局大院二楼）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30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1、存在以下不良信用记录情形之一的，不得推荐为成交候选供应商,评审时磋商小组应当按照下列第3条不良信用记录查询渠道对供应商是否存在不良信用记录进行查询：</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（1）供应商被人民法院列入失信被执行人的；</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（2）供应商被市场监督管理部门列入严重违法失信企业名录的；</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3、不良信用记录查询渠道如下：</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（2）严重违法失信企业名录：信用中国官网（www.creditchina.gov.cn）</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30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网上采购相关说明</w:t>
            </w:r>
          </w:p>
        </w:tc>
        <w:tc>
          <w:tcPr>
            <w:tcW w:w="7308" w:type="dxa"/>
            <w:vAlign w:val="center"/>
          </w:tcPr>
          <w:p>
            <w:pPr>
              <w:pStyle w:val="97"/>
              <w:pBdr>
                <w:bottom w:val="none" w:color="auto" w:sz="0" w:space="0"/>
              </w:pBdr>
              <w:tabs>
                <w:tab w:val="clear" w:pos="4153"/>
                <w:tab w:val="clear" w:pos="8306"/>
              </w:tabs>
              <w:adjustRightInd/>
              <w:spacing w:line="460" w:lineRule="exact"/>
              <w:jc w:val="left"/>
              <w:textAlignment w:val="auto"/>
              <w:rPr>
                <w:rFonts w:ascii="宋体" w:hAnsi="宋体"/>
                <w:bCs/>
                <w:kern w:val="2"/>
                <w:szCs w:val="24"/>
              </w:rPr>
            </w:pPr>
            <w:r>
              <w:rPr>
                <w:rFonts w:hint="eastAsia" w:ascii="宋体" w:hAnsi="宋体"/>
                <w:bCs/>
                <w:kern w:val="2"/>
                <w:szCs w:val="24"/>
                <w:lang w:val="en-US"/>
              </w:rPr>
              <w:t>1、</w:t>
            </w:r>
            <w:r>
              <w:rPr>
                <w:rFonts w:hint="eastAsia" w:ascii="宋体" w:hAnsi="宋体"/>
                <w:bCs/>
                <w:kern w:val="2"/>
                <w:szCs w:val="24"/>
              </w:rPr>
              <w:t>请各市场主体（非自然人）办理CA数字证书后，使用CA数字证书登录安徽省市场主体库（地址： http://61.190.70.20/ahggfwpt-zhutiku ），填报企业基本信息及相关资料，供应商自行更新、自行维护本单位信息。以上所有信息的真实性、准确性和完整性由供应商负责。</w:t>
            </w:r>
          </w:p>
          <w:p>
            <w:pPr>
              <w:pStyle w:val="97"/>
              <w:pBdr>
                <w:bottom w:val="none" w:color="auto" w:sz="0" w:space="0"/>
              </w:pBdr>
              <w:tabs>
                <w:tab w:val="clear" w:pos="4153"/>
                <w:tab w:val="clear" w:pos="8306"/>
              </w:tabs>
              <w:adjustRightInd/>
              <w:spacing w:line="460" w:lineRule="exact"/>
              <w:jc w:val="left"/>
              <w:textAlignment w:val="auto"/>
              <w:rPr>
                <w:rFonts w:ascii="宋体" w:hAnsi="宋体"/>
                <w:bCs/>
                <w:kern w:val="2"/>
                <w:szCs w:val="24"/>
              </w:rPr>
            </w:pPr>
            <w:r>
              <w:rPr>
                <w:rFonts w:hint="eastAsia" w:ascii="宋体" w:hAnsi="宋体"/>
                <w:bCs/>
                <w:kern w:val="2"/>
                <w:szCs w:val="24"/>
                <w:lang w:val="en-US"/>
              </w:rPr>
              <w:t>2、安徽省公共资源交易市场主体信息库咨询电话：010-86483801；六安市公共资源电子交易系统技术支持咨询电话：400-998-0000；数字证书和电子签章（CA）办理咨询电话：安徽（CA）400-880-4959；CFCA（江苏.翔晟）025-66085508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20</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rPr>
              <w:t>中标（成交）通知书发出的形式</w:t>
            </w:r>
          </w:p>
        </w:tc>
        <w:tc>
          <w:tcPr>
            <w:tcW w:w="7308" w:type="dxa"/>
            <w:vAlign w:val="center"/>
          </w:tcPr>
          <w:p>
            <w:pPr>
              <w:snapToGrid w:val="0"/>
              <w:rPr>
                <w:rFonts w:ascii="宋体" w:hAnsi="宋体"/>
                <w:bCs/>
                <w:sz w:val="24"/>
                <w:szCs w:val="24"/>
              </w:rPr>
            </w:pPr>
            <w:r>
              <w:rPr>
                <w:rFonts w:hint="eastAsia" w:ascii="宋体" w:hAnsi="宋体"/>
                <w:bCs/>
                <w:sz w:val="24"/>
                <w:szCs w:val="24"/>
              </w:rPr>
              <w:t xml:space="preserve">【√】纸质  【】数据电文  </w:t>
            </w:r>
          </w:p>
          <w:p>
            <w:pPr>
              <w:pStyle w:val="9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rPr>
            </w:pPr>
            <w:r>
              <w:rPr>
                <w:rFonts w:hint="eastAsia"/>
              </w:rPr>
              <w:t>特别提醒：招标人确定中标人后，通过电子交易系统向中标人发出中标（成交）通知书，中标（成交）通知书发出即视为送达。 投标人应主动登录电子交易系统查询，招标人和招标代理机构不承担投标人未及时关注相关信息引发的相关责任。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27"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21</w:t>
            </w:r>
          </w:p>
        </w:tc>
        <w:tc>
          <w:tcPr>
            <w:tcW w:w="1502" w:type="dxa"/>
            <w:vAlign w:val="center"/>
          </w:tcPr>
          <w:p>
            <w:pPr>
              <w:pStyle w:val="97"/>
              <w:pBdr>
                <w:bottom w:val="none" w:color="auto" w:sz="0" w:space="0"/>
              </w:pBdr>
              <w:tabs>
                <w:tab w:val="clear" w:pos="4153"/>
                <w:tab w:val="clear" w:pos="8306"/>
              </w:tabs>
              <w:adjustRightInd/>
              <w:spacing w:line="460" w:lineRule="exact"/>
              <w:jc w:val="left"/>
            </w:pPr>
            <w:r>
              <w:rPr>
                <w:rFonts w:hint="eastAsia" w:ascii="宋体" w:hAnsi="宋体"/>
                <w:bCs/>
                <w:kern w:val="2"/>
                <w:szCs w:val="24"/>
                <w:lang w:val="en-US"/>
              </w:rPr>
              <w:t>注意事项</w:t>
            </w:r>
          </w:p>
        </w:tc>
        <w:tc>
          <w:tcPr>
            <w:tcW w:w="730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lang w:val="en-US"/>
              </w:rPr>
              <w:t>1、异常低价：</w:t>
            </w:r>
            <w:r>
              <w:rPr>
                <w:rFonts w:hint="eastAsia" w:ascii="宋体" w:hAnsi="宋体"/>
                <w:bCs/>
                <w:kern w:val="2"/>
                <w:szCs w:val="24"/>
              </w:rPr>
              <w:t>磋商小组发现供应商的最终报价明显低于其他供应商的最终报价或者明显低于预算价或最高限价，有可能影响工程质量和不能诚信履约的，应当要求其在规定的期限内提供书面文件予以解释说明，并提交相关证明材料。该供应商不能合理说明或者不能提供相应证明材料的，磋商小组可以认定其低于成本价，</w:t>
            </w:r>
            <w:r>
              <w:rPr>
                <w:rFonts w:hint="eastAsia" w:ascii="宋体" w:hAnsi="宋体"/>
                <w:bCs/>
                <w:kern w:val="2"/>
                <w:szCs w:val="24"/>
                <w:lang w:val="en-US"/>
              </w:rPr>
              <w:t>否决其报价</w:t>
            </w:r>
            <w:r>
              <w:rPr>
                <w:rFonts w:hint="eastAsia" w:ascii="宋体" w:hAnsi="宋体"/>
                <w:bCs/>
                <w:kern w:val="2"/>
                <w:szCs w:val="24"/>
              </w:rPr>
              <w:t>。</w:t>
            </w:r>
          </w:p>
          <w:p>
            <w:pPr>
              <w:pStyle w:val="97"/>
              <w:pBdr>
                <w:bottom w:val="none" w:color="auto" w:sz="0" w:space="0"/>
              </w:pBdr>
              <w:tabs>
                <w:tab w:val="clear" w:pos="4153"/>
                <w:tab w:val="clear" w:pos="8306"/>
              </w:tabs>
              <w:adjustRightInd/>
              <w:spacing w:line="440" w:lineRule="exact"/>
              <w:jc w:val="left"/>
              <w:textAlignment w:val="auto"/>
            </w:pPr>
            <w:r>
              <w:rPr>
                <w:rFonts w:hint="eastAsia" w:ascii="宋体" w:hAnsi="宋体"/>
                <w:bCs/>
                <w:kern w:val="2"/>
                <w:szCs w:val="24"/>
                <w:lang w:val="en-US"/>
              </w:rPr>
              <w:t>2、</w:t>
            </w:r>
            <w:r>
              <w:rPr>
                <w:rFonts w:hint="eastAsia" w:ascii="宋体" w:hAnsi="宋体"/>
                <w:bCs/>
                <w:kern w:val="2"/>
                <w:szCs w:val="24"/>
              </w:rPr>
              <w:t>违约责任：若发现供应商属于出借资质或挂靠以及以各种理由推脱无法履约的（包含项目班子成员无法到岗、因工程质量问题无法验收以及工程延期等因素），采购人将供应商违约事实形成证据，除支付违约金外，</w:t>
            </w:r>
            <w:r>
              <w:rPr>
                <w:rFonts w:hint="eastAsia" w:ascii="宋体" w:hAnsi="宋体"/>
                <w:bCs/>
                <w:kern w:val="2"/>
                <w:szCs w:val="24"/>
                <w:lang w:val="en-US"/>
              </w:rPr>
              <w:t>采购</w:t>
            </w:r>
            <w:r>
              <w:rPr>
                <w:rFonts w:hint="eastAsia" w:ascii="宋体" w:hAnsi="宋体"/>
                <w:bCs/>
                <w:kern w:val="2"/>
                <w:szCs w:val="24"/>
              </w:rPr>
              <w:t>人有权无条件终止合同，同时给予企业或项目班子成员记不良行为记录等处理。情节严重的将提请执法机关查处，直至追究刑事责任，并依法并向社会公开曝光。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27"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22</w:t>
            </w:r>
          </w:p>
        </w:tc>
        <w:tc>
          <w:tcPr>
            <w:tcW w:w="1502" w:type="dxa"/>
            <w:vAlign w:val="center"/>
          </w:tcPr>
          <w:p>
            <w:pPr>
              <w:pStyle w:val="97"/>
              <w:pBdr>
                <w:bottom w:val="none" w:color="auto" w:sz="0" w:space="0"/>
              </w:pBdr>
              <w:tabs>
                <w:tab w:val="clear" w:pos="4153"/>
                <w:tab w:val="clear" w:pos="8306"/>
              </w:tabs>
              <w:adjustRightInd/>
              <w:spacing w:line="460" w:lineRule="exact"/>
              <w:jc w:val="left"/>
              <w:rPr>
                <w:rFonts w:ascii="宋体" w:hAnsi="宋体"/>
                <w:bCs/>
                <w:kern w:val="2"/>
                <w:szCs w:val="24"/>
                <w:lang w:val="en-US"/>
              </w:rPr>
            </w:pPr>
            <w:r>
              <w:rPr>
                <w:rFonts w:hint="eastAsia" w:ascii="宋体" w:hAnsi="宋体"/>
                <w:bCs/>
                <w:kern w:val="2"/>
                <w:szCs w:val="24"/>
                <w:lang w:val="en-US"/>
              </w:rPr>
              <w:t>其他</w:t>
            </w:r>
            <w:r>
              <w:rPr>
                <w:rFonts w:hint="eastAsia" w:ascii="宋体" w:hAnsi="宋体"/>
                <w:bCs/>
                <w:kern w:val="2"/>
                <w:szCs w:val="24"/>
              </w:rPr>
              <w:t>要求</w:t>
            </w:r>
          </w:p>
        </w:tc>
        <w:tc>
          <w:tcPr>
            <w:tcW w:w="730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kern w:val="2"/>
                <w:szCs w:val="22"/>
                <w:lang w:val="en-US"/>
              </w:rPr>
              <w:t>本次采购内容，成交供应商不得部分转让或全部转让其应履行的合同项下的义务，如转包分包，采购人有权解除与其签订的合同。</w:t>
            </w:r>
          </w:p>
        </w:tc>
      </w:tr>
    </w:tbl>
    <w:p>
      <w:pPr>
        <w:rPr>
          <w:rFonts w:ascii="宋体" w:hAnsi="宋体" w:cs="宋体"/>
          <w:szCs w:val="24"/>
        </w:rPr>
      </w:pPr>
    </w:p>
    <w:p>
      <w:pPr>
        <w:pStyle w:val="4"/>
        <w:spacing w:before="20" w:after="20"/>
        <w:ind w:firstLine="241" w:firstLineChars="100"/>
        <w:jc w:val="center"/>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4"/>
        <w:spacing w:beforeLines="50" w:afterLines="50" w:line="520" w:lineRule="exact"/>
        <w:jc w:val="center"/>
        <w:rPr>
          <w:rFonts w:ascii="宋体" w:hAnsi="宋体" w:eastAsia="宋体" w:cs="宋体"/>
          <w:sz w:val="24"/>
          <w:szCs w:val="24"/>
        </w:rPr>
      </w:pPr>
      <w:bookmarkStart w:id="61" w:name="_Toc14333"/>
      <w:r>
        <w:rPr>
          <w:rFonts w:hint="eastAsia" w:ascii="宋体" w:hAnsi="宋体" w:eastAsia="宋体" w:cs="宋体"/>
          <w:sz w:val="24"/>
          <w:szCs w:val="24"/>
        </w:rPr>
        <w:t>（二）供应商资格</w:t>
      </w:r>
      <w:bookmarkEnd w:id="61"/>
    </w:p>
    <w:bookmarkEnd w:id="58"/>
    <w:p>
      <w:pPr>
        <w:pStyle w:val="35"/>
        <w:spacing w:line="520" w:lineRule="exact"/>
        <w:ind w:firstLine="480" w:firstLineChars="200"/>
      </w:pPr>
      <w:bookmarkStart w:id="62" w:name="_Toc363199266"/>
      <w:bookmarkStart w:id="63" w:name="_Toc438648662"/>
      <w:bookmarkStart w:id="64" w:name="_Toc216158625"/>
      <w:r>
        <w:rPr>
          <w:rFonts w:hint="eastAsia"/>
        </w:rPr>
        <w:t>见本项目采购公告</w:t>
      </w:r>
    </w:p>
    <w:p>
      <w:pPr>
        <w:pStyle w:val="4"/>
        <w:spacing w:beforeLines="50" w:afterLines="50" w:line="520" w:lineRule="exact"/>
        <w:jc w:val="center"/>
        <w:rPr>
          <w:rFonts w:ascii="宋体" w:hAnsi="宋体" w:eastAsia="宋体" w:cs="宋体"/>
          <w:sz w:val="24"/>
          <w:szCs w:val="24"/>
        </w:rPr>
      </w:pPr>
      <w:bookmarkStart w:id="65" w:name="_Toc9435"/>
      <w:r>
        <w:rPr>
          <w:rFonts w:hint="eastAsia" w:ascii="宋体" w:hAnsi="宋体" w:eastAsia="宋体" w:cs="宋体"/>
          <w:sz w:val="24"/>
          <w:szCs w:val="24"/>
        </w:rPr>
        <w:t>（三）供应商必须提交的响应文件内容</w:t>
      </w:r>
      <w:bookmarkEnd w:id="62"/>
      <w:bookmarkEnd w:id="63"/>
      <w:bookmarkEnd w:id="64"/>
      <w:bookmarkEnd w:id="65"/>
    </w:p>
    <w:p>
      <w:pPr>
        <w:spacing w:line="520" w:lineRule="exact"/>
        <w:ind w:firstLine="480" w:firstLineChars="200"/>
        <w:jc w:val="left"/>
        <w:rPr>
          <w:rFonts w:ascii="宋体" w:hAnsi="宋体"/>
          <w:sz w:val="24"/>
          <w:szCs w:val="24"/>
        </w:rPr>
      </w:pPr>
      <w:r>
        <w:rPr>
          <w:rFonts w:hint="eastAsia" w:ascii="宋体" w:hAnsi="宋体"/>
          <w:sz w:val="24"/>
          <w:szCs w:val="24"/>
        </w:rPr>
        <w:t>1、报价单；</w:t>
      </w:r>
    </w:p>
    <w:p>
      <w:pPr>
        <w:spacing w:line="52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520" w:lineRule="exact"/>
        <w:ind w:firstLine="480" w:firstLineChars="200"/>
        <w:jc w:val="left"/>
        <w:rPr>
          <w:rFonts w:ascii="宋体" w:hAnsi="宋体"/>
          <w:sz w:val="24"/>
          <w:szCs w:val="24"/>
        </w:rPr>
      </w:pPr>
      <w:r>
        <w:rPr>
          <w:rFonts w:hint="eastAsia" w:ascii="宋体" w:hAnsi="宋体"/>
          <w:sz w:val="24"/>
          <w:szCs w:val="24"/>
        </w:rPr>
        <w:t>3、磋商授权书；</w:t>
      </w:r>
    </w:p>
    <w:p>
      <w:pPr>
        <w:spacing w:line="520" w:lineRule="exact"/>
        <w:ind w:firstLine="480" w:firstLineChars="200"/>
        <w:jc w:val="left"/>
        <w:rPr>
          <w:rFonts w:ascii="宋体" w:hAnsi="宋体"/>
          <w:sz w:val="24"/>
          <w:szCs w:val="24"/>
        </w:rPr>
      </w:pPr>
      <w:r>
        <w:rPr>
          <w:rFonts w:hint="eastAsia" w:ascii="宋体" w:hAnsi="宋体"/>
          <w:sz w:val="24"/>
          <w:szCs w:val="24"/>
        </w:rPr>
        <w:t>4、磋商响应函；</w:t>
      </w:r>
    </w:p>
    <w:p>
      <w:pPr>
        <w:spacing w:line="52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520" w:lineRule="exact"/>
        <w:ind w:firstLine="480" w:firstLineChars="200"/>
        <w:jc w:val="left"/>
        <w:rPr>
          <w:rFonts w:ascii="宋体" w:hAnsi="宋体"/>
          <w:sz w:val="24"/>
          <w:szCs w:val="24"/>
        </w:rPr>
      </w:pPr>
      <w:r>
        <w:rPr>
          <w:rFonts w:hint="eastAsia" w:ascii="宋体" w:hAnsi="宋体"/>
          <w:sz w:val="24"/>
          <w:szCs w:val="24"/>
        </w:rPr>
        <w:t>6、响应情况表；</w:t>
      </w:r>
    </w:p>
    <w:p>
      <w:pPr>
        <w:spacing w:line="520" w:lineRule="exact"/>
        <w:ind w:firstLine="480" w:firstLineChars="200"/>
        <w:jc w:val="left"/>
        <w:rPr>
          <w:rFonts w:ascii="宋体" w:hAnsi="宋体"/>
          <w:sz w:val="24"/>
          <w:szCs w:val="24"/>
        </w:rPr>
      </w:pPr>
      <w:r>
        <w:rPr>
          <w:rFonts w:hint="eastAsia" w:ascii="宋体" w:hAnsi="宋体"/>
          <w:sz w:val="24"/>
          <w:szCs w:val="24"/>
        </w:rPr>
        <w:t>7、技术标材料</w:t>
      </w:r>
      <w:r>
        <w:rPr>
          <w:rFonts w:hint="eastAsia" w:ascii="宋体" w:hAnsi="宋体" w:cs="宋体"/>
          <w:bCs/>
          <w:sz w:val="24"/>
          <w:szCs w:val="24"/>
        </w:rPr>
        <w:t>；</w:t>
      </w:r>
    </w:p>
    <w:p>
      <w:pPr>
        <w:spacing w:line="520" w:lineRule="exact"/>
        <w:ind w:firstLine="480" w:firstLineChars="200"/>
        <w:jc w:val="left"/>
        <w:rPr>
          <w:rFonts w:ascii="宋体" w:hAnsi="宋体"/>
          <w:b/>
          <w:bCs/>
          <w:sz w:val="24"/>
          <w:szCs w:val="24"/>
        </w:rPr>
      </w:pPr>
      <w:r>
        <w:rPr>
          <w:rFonts w:hint="eastAsia" w:ascii="宋体" w:hAnsi="宋体"/>
          <w:sz w:val="24"/>
          <w:szCs w:val="24"/>
        </w:rPr>
        <w:t>8、相关服务承诺函；</w:t>
      </w:r>
    </w:p>
    <w:p>
      <w:pPr>
        <w:spacing w:line="520" w:lineRule="exact"/>
        <w:ind w:firstLine="480" w:firstLineChars="200"/>
        <w:jc w:val="left"/>
        <w:rPr>
          <w:rFonts w:ascii="宋体" w:hAnsi="宋体" w:cs="宋体"/>
          <w:sz w:val="24"/>
          <w:szCs w:val="24"/>
        </w:rPr>
      </w:pPr>
      <w:r>
        <w:rPr>
          <w:rFonts w:hint="eastAsia" w:ascii="宋体" w:hAnsi="宋体"/>
          <w:sz w:val="24"/>
          <w:szCs w:val="24"/>
        </w:rPr>
        <w:t xml:space="preserve">9、磋商文件要求和供应商认为需要提供的其它说明和资料。 </w:t>
      </w:r>
    </w:p>
    <w:p>
      <w:pPr>
        <w:pStyle w:val="4"/>
        <w:spacing w:beforeLines="50" w:afterLines="50" w:line="520" w:lineRule="exact"/>
        <w:jc w:val="center"/>
        <w:rPr>
          <w:rFonts w:ascii="宋体" w:hAnsi="宋体" w:eastAsia="宋体" w:cs="宋体"/>
          <w:sz w:val="24"/>
          <w:szCs w:val="24"/>
        </w:rPr>
      </w:pPr>
      <w:bookmarkStart w:id="66" w:name="_Toc9883"/>
      <w:r>
        <w:rPr>
          <w:rFonts w:hint="eastAsia" w:ascii="宋体" w:hAnsi="宋体" w:eastAsia="宋体" w:cs="宋体"/>
          <w:sz w:val="24"/>
          <w:szCs w:val="24"/>
        </w:rPr>
        <w:t>（四）响应文件的提交</w:t>
      </w:r>
      <w:bookmarkEnd w:id="66"/>
    </w:p>
    <w:p>
      <w:pPr>
        <w:spacing w:line="560" w:lineRule="exact"/>
        <w:ind w:firstLine="480" w:firstLineChars="200"/>
        <w:rPr>
          <w:rFonts w:ascii="宋体" w:hAnsi="宋体"/>
          <w:sz w:val="24"/>
          <w:szCs w:val="24"/>
        </w:rPr>
      </w:pPr>
      <w:r>
        <w:rPr>
          <w:rFonts w:hint="eastAsia" w:ascii="宋体" w:hAnsi="宋体"/>
          <w:sz w:val="24"/>
          <w:szCs w:val="24"/>
        </w:rPr>
        <w:t>1.响应文件密封</w:t>
      </w:r>
    </w:p>
    <w:p>
      <w:pPr>
        <w:spacing w:line="56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56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56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56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56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56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56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56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560" w:lineRule="exact"/>
        <w:ind w:firstLine="480" w:firstLineChars="200"/>
        <w:rPr>
          <w:rFonts w:ascii="宋体" w:hAnsi="宋体"/>
          <w:sz w:val="24"/>
          <w:szCs w:val="24"/>
        </w:rPr>
      </w:pPr>
      <w:r>
        <w:rPr>
          <w:rFonts w:hint="eastAsia" w:ascii="宋体" w:hAnsi="宋体"/>
          <w:sz w:val="24"/>
          <w:szCs w:val="24"/>
        </w:rPr>
        <w:t>3.响应文件的修改和撤回</w:t>
      </w:r>
    </w:p>
    <w:p>
      <w:pPr>
        <w:spacing w:line="56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56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spacing w:line="560" w:lineRule="exact"/>
        <w:ind w:firstLine="480" w:firstLineChars="200"/>
        <w:rPr>
          <w:rFonts w:ascii="宋体" w:hAnsi="宋体" w:cs="宋体"/>
          <w:sz w:val="24"/>
          <w:szCs w:val="24"/>
        </w:rPr>
      </w:pPr>
      <w:r>
        <w:rPr>
          <w:rFonts w:hint="eastAsia" w:ascii="宋体" w:hAnsi="宋体"/>
          <w:sz w:val="24"/>
          <w:szCs w:val="24"/>
        </w:rPr>
        <w:t>3.3提交响应文件截止时间后不得修改响应文件。但属于磋商小组在评审中发现的计算错误并进行核实的修改、按照磋商文件的变动情况和磋商小组的要求重新提交响应文件的，不在此列。</w:t>
      </w:r>
    </w:p>
    <w:bookmarkEnd w:id="59"/>
    <w:bookmarkEnd w:id="60"/>
    <w:p>
      <w:pPr>
        <w:pStyle w:val="4"/>
        <w:spacing w:beforeLines="50" w:afterLines="50" w:line="500" w:lineRule="exact"/>
        <w:jc w:val="center"/>
        <w:rPr>
          <w:rFonts w:ascii="宋体" w:hAnsi="宋体" w:eastAsia="宋体" w:cs="宋体"/>
          <w:sz w:val="24"/>
          <w:szCs w:val="24"/>
        </w:rPr>
      </w:pPr>
      <w:bookmarkStart w:id="67" w:name="_Toc32682"/>
      <w:bookmarkStart w:id="68" w:name="_Toc15950"/>
      <w:r>
        <w:rPr>
          <w:rFonts w:hint="eastAsia" w:ascii="宋体" w:hAnsi="宋体" w:eastAsia="宋体" w:cs="宋体"/>
          <w:sz w:val="24"/>
          <w:szCs w:val="24"/>
        </w:rPr>
        <w:t>（五）磋商程序</w:t>
      </w:r>
      <w:bookmarkEnd w:id="67"/>
      <w:bookmarkEnd w:id="68"/>
    </w:p>
    <w:p>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1、磋商人员是按规定组成的三人或三人以上的磋商小组。</w:t>
      </w:r>
    </w:p>
    <w:p>
      <w:pPr>
        <w:tabs>
          <w:tab w:val="left" w:pos="900"/>
        </w:tabs>
        <w:spacing w:line="500" w:lineRule="exact"/>
        <w:ind w:firstLine="480" w:firstLineChars="200"/>
        <w:rPr>
          <w:rFonts w:ascii="宋体" w:hAnsi="宋体"/>
          <w:sz w:val="24"/>
          <w:szCs w:val="24"/>
        </w:rPr>
      </w:pPr>
      <w:bookmarkStart w:id="69" w:name="_Toc11542"/>
      <w:bookmarkStart w:id="70" w:name="_Toc7501"/>
      <w:r>
        <w:rPr>
          <w:rFonts w:hint="eastAsia" w:ascii="宋体" w:hAnsi="宋体"/>
          <w:sz w:val="24"/>
          <w:szCs w:val="24"/>
        </w:rPr>
        <w:t>2、供应商须符合下列条件：（1）营业执照符合采购文件要求；（2）资质等级符合采购文件规定；（3）总监理工程师资格符合采购文件规定（4）其他要求均符合采购文件规定。</w:t>
      </w:r>
    </w:p>
    <w:p>
      <w:pPr>
        <w:tabs>
          <w:tab w:val="left" w:pos="900"/>
        </w:tabs>
        <w:spacing w:line="500" w:lineRule="exact"/>
        <w:ind w:firstLine="480" w:firstLineChars="200"/>
        <w:rPr>
          <w:rFonts w:ascii="宋体" w:hAnsi="宋体"/>
          <w:sz w:val="24"/>
          <w:szCs w:val="24"/>
        </w:rPr>
      </w:pPr>
      <w:r>
        <w:rPr>
          <w:rFonts w:hint="eastAsia" w:ascii="宋体" w:hAnsi="宋体"/>
          <w:sz w:val="24"/>
          <w:szCs w:val="24"/>
        </w:rPr>
        <w:t>3、在掌握了供应商的基本情况后，磋商小组将按磋商现场签到顺序，与供应商分别进行磋商。</w:t>
      </w:r>
    </w:p>
    <w:p>
      <w:pPr>
        <w:tabs>
          <w:tab w:val="left" w:pos="900"/>
        </w:tabs>
        <w:spacing w:line="500" w:lineRule="exact"/>
        <w:ind w:firstLine="480" w:firstLineChars="200"/>
        <w:rPr>
          <w:rFonts w:ascii="宋体" w:hAnsi="宋体"/>
          <w:sz w:val="24"/>
          <w:szCs w:val="24"/>
        </w:rPr>
      </w:pPr>
      <w:r>
        <w:rPr>
          <w:rFonts w:hint="eastAsia" w:ascii="宋体" w:hAnsi="宋体"/>
          <w:sz w:val="24"/>
          <w:szCs w:val="24"/>
        </w:rPr>
        <w:t>4、磋商是</w:t>
      </w:r>
      <w:r>
        <w:rPr>
          <w:rFonts w:ascii="宋体" w:hAnsi="宋体"/>
          <w:sz w:val="24"/>
          <w:szCs w:val="24"/>
        </w:rPr>
        <w:t>分别</w:t>
      </w:r>
      <w:r>
        <w:rPr>
          <w:rFonts w:hint="eastAsia" w:ascii="宋体" w:hAnsi="宋体"/>
          <w:sz w:val="24"/>
          <w:szCs w:val="24"/>
        </w:rPr>
        <w:t>单独进行的。供应商不得与其他参与磋商的供应商相互串通；磋商小组也不得将与某一供应商的磋商情况向其他供应商及其关系人透露。</w:t>
      </w:r>
    </w:p>
    <w:p>
      <w:pPr>
        <w:tabs>
          <w:tab w:val="left" w:pos="900"/>
        </w:tabs>
        <w:spacing w:line="500" w:lineRule="exact"/>
        <w:ind w:firstLine="480" w:firstLineChars="200"/>
        <w:rPr>
          <w:rFonts w:ascii="宋体" w:hAnsi="宋体"/>
          <w:sz w:val="24"/>
          <w:szCs w:val="24"/>
        </w:rPr>
      </w:pPr>
      <w:r>
        <w:rPr>
          <w:rFonts w:hint="eastAsia" w:ascii="宋体" w:hAnsi="宋体"/>
          <w:sz w:val="24"/>
          <w:szCs w:val="24"/>
        </w:rPr>
        <w:t>5、磋商采用一轮磋商、两轮报价的方式进行。但最终采取多少轮磋商，由磋商小组视情况而定。</w:t>
      </w:r>
    </w:p>
    <w:p>
      <w:pPr>
        <w:tabs>
          <w:tab w:val="left" w:pos="900"/>
        </w:tabs>
        <w:spacing w:line="500" w:lineRule="exact"/>
        <w:ind w:firstLine="480" w:firstLineChars="200"/>
        <w:rPr>
          <w:rFonts w:ascii="宋体" w:hAnsi="宋体"/>
          <w:b/>
          <w:bCs/>
          <w:sz w:val="24"/>
          <w:szCs w:val="24"/>
        </w:rPr>
      </w:pPr>
      <w:r>
        <w:rPr>
          <w:rFonts w:hint="eastAsia" w:ascii="宋体" w:hAnsi="宋体"/>
          <w:sz w:val="24"/>
          <w:szCs w:val="24"/>
        </w:rPr>
        <w:t>6、磋商结束后，磋商小组将要求所有符合条件的供应商在规定的时间内进行最终报价。供应商应在磋商小组发出二轮报价指令后 30分钟内完成报价，</w:t>
      </w:r>
      <w:r>
        <w:rPr>
          <w:rFonts w:hint="eastAsia" w:ascii="宋体" w:hAnsi="宋体"/>
          <w:b/>
          <w:bCs/>
          <w:sz w:val="24"/>
          <w:szCs w:val="24"/>
        </w:rPr>
        <w:t>若供应商未在磋商小组规定的时间内提交最终报价，则其前一轮报价即为该供应商最终报价。（后一轮报价不得高于前一轮报价，否则，报价无效）。</w:t>
      </w:r>
    </w:p>
    <w:p>
      <w:pPr>
        <w:tabs>
          <w:tab w:val="left" w:pos="900"/>
        </w:tabs>
        <w:spacing w:line="500" w:lineRule="exact"/>
        <w:ind w:firstLine="480" w:firstLineChars="200"/>
        <w:rPr>
          <w:rFonts w:ascii="宋体" w:hAnsi="宋体"/>
          <w:b/>
          <w:bCs/>
          <w:sz w:val="24"/>
          <w:szCs w:val="24"/>
        </w:rPr>
      </w:pPr>
      <w:r>
        <w:rPr>
          <w:rFonts w:hint="eastAsia" w:ascii="宋体" w:hAnsi="宋体"/>
          <w:sz w:val="24"/>
          <w:szCs w:val="24"/>
        </w:rPr>
        <w:t>7、供应商必须在规定的时间内将自己在磋商中作出的澄清、变动以及最终的报价，经法定代表人或被授权代表签字后，以书面的方式提交给磋商小组。</w:t>
      </w:r>
    </w:p>
    <w:p>
      <w:pPr>
        <w:pStyle w:val="4"/>
        <w:spacing w:beforeLines="50" w:afterLines="50" w:line="52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9"/>
      <w:bookmarkEnd w:id="70"/>
    </w:p>
    <w:p>
      <w:pPr>
        <w:spacing w:line="520" w:lineRule="exact"/>
        <w:ind w:firstLine="480" w:firstLineChars="200"/>
        <w:rPr>
          <w:rFonts w:ascii="宋体" w:hAnsi="宋体" w:cs="宋体"/>
          <w:sz w:val="24"/>
          <w:szCs w:val="24"/>
        </w:rPr>
      </w:pPr>
      <w:r>
        <w:rPr>
          <w:rFonts w:hint="eastAsia" w:ascii="宋体" w:hAnsi="宋体" w:cs="宋体"/>
          <w:sz w:val="24"/>
          <w:szCs w:val="24"/>
        </w:rPr>
        <w:t>1、磋商小组将遵循公平、公正的原则，对供应商最终提交的确认价进行综合评审，根据得分由高到低顺序推荐成交候选供应商。</w:t>
      </w:r>
    </w:p>
    <w:p>
      <w:pPr>
        <w:spacing w:line="500" w:lineRule="exact"/>
        <w:ind w:firstLine="480" w:firstLineChars="200"/>
        <w:rPr>
          <w:rFonts w:ascii="宋体" w:hAnsi="宋体"/>
          <w:sz w:val="24"/>
          <w:szCs w:val="24"/>
        </w:rPr>
      </w:pPr>
      <w:bookmarkStart w:id="71" w:name="_Toc30632"/>
      <w:r>
        <w:rPr>
          <w:rFonts w:hint="eastAsia" w:ascii="宋体" w:hAnsi="宋体"/>
          <w:sz w:val="24"/>
          <w:szCs w:val="24"/>
        </w:rPr>
        <w:t>2、磋商时出现以下情况之一的，将予以废标：</w:t>
      </w:r>
    </w:p>
    <w:p>
      <w:pPr>
        <w:spacing w:line="50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（1）符合专业条件的供应商或者对采购文件作实质性响应的供应商不足规定数量的；</w:t>
      </w:r>
    </w:p>
    <w:p>
      <w:pPr>
        <w:spacing w:line="500" w:lineRule="exact"/>
        <w:ind w:firstLine="480" w:firstLineChars="200"/>
        <w:rPr>
          <w:rFonts w:ascii="宋体" w:hAnsi="宋体"/>
          <w:sz w:val="24"/>
          <w:szCs w:val="24"/>
        </w:rPr>
      </w:pPr>
      <w:r>
        <w:rPr>
          <w:rFonts w:hint="eastAsia" w:ascii="宋体" w:hAnsi="宋体"/>
          <w:sz w:val="24"/>
          <w:szCs w:val="24"/>
        </w:rPr>
        <w:t>（2）供应商的报价均超过了采购预算，经过多轮磋商仍不能降到预算内、且采购人不能支付的；</w:t>
      </w:r>
    </w:p>
    <w:p>
      <w:pPr>
        <w:spacing w:line="500" w:lineRule="exact"/>
        <w:ind w:firstLine="480" w:firstLineChars="200"/>
        <w:rPr>
          <w:rFonts w:ascii="宋体" w:hAnsi="宋体"/>
          <w:sz w:val="24"/>
          <w:szCs w:val="24"/>
        </w:rPr>
      </w:pPr>
      <w:r>
        <w:rPr>
          <w:rFonts w:hint="eastAsia" w:ascii="宋体" w:hAnsi="宋体"/>
          <w:sz w:val="24"/>
          <w:szCs w:val="24"/>
        </w:rPr>
        <w:t>（3）经过磋商，供应商所提供的服务仍无法满足磋商文件实质性要求、影响工作的；</w:t>
      </w:r>
    </w:p>
    <w:p>
      <w:pPr>
        <w:spacing w:line="50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spacing w:line="500" w:lineRule="exact"/>
        <w:ind w:firstLine="480" w:firstLineChars="200"/>
        <w:rPr>
          <w:rFonts w:ascii="宋体" w:hAnsi="宋体"/>
          <w:sz w:val="24"/>
          <w:szCs w:val="24"/>
        </w:rPr>
      </w:pPr>
      <w:r>
        <w:rPr>
          <w:rFonts w:hint="eastAsia" w:ascii="宋体" w:hAnsi="宋体"/>
          <w:sz w:val="24"/>
          <w:szCs w:val="24"/>
        </w:rPr>
        <w:t>（5）因重大变故，采购任务取消的。</w:t>
      </w:r>
    </w:p>
    <w:p>
      <w:pPr>
        <w:spacing w:line="500" w:lineRule="exact"/>
        <w:ind w:firstLine="480" w:firstLineChars="200"/>
        <w:rPr>
          <w:rFonts w:ascii="宋体" w:hAnsi="宋体"/>
          <w:sz w:val="24"/>
          <w:szCs w:val="24"/>
        </w:rPr>
      </w:pPr>
      <w:r>
        <w:rPr>
          <w:rFonts w:hint="eastAsia" w:ascii="宋体" w:hAnsi="宋体"/>
          <w:sz w:val="24"/>
          <w:szCs w:val="24"/>
        </w:rPr>
        <w:t>3、若废标条款符合第一款情形，可按以下两种方式进行：</w:t>
      </w:r>
    </w:p>
    <w:p>
      <w:pPr>
        <w:spacing w:line="500" w:lineRule="exact"/>
        <w:ind w:firstLine="480" w:firstLineChars="200"/>
        <w:rPr>
          <w:rFonts w:ascii="宋体" w:hAnsi="宋体"/>
          <w:sz w:val="24"/>
          <w:szCs w:val="24"/>
        </w:rPr>
      </w:pPr>
      <w:r>
        <w:rPr>
          <w:rFonts w:hint="eastAsia" w:ascii="宋体" w:hAnsi="宋体"/>
          <w:sz w:val="24"/>
          <w:szCs w:val="24"/>
        </w:rPr>
        <w:t>（1）按财库〔2015〕124 号文件执行；</w:t>
      </w:r>
    </w:p>
    <w:p>
      <w:pPr>
        <w:spacing w:line="500" w:lineRule="exact"/>
        <w:ind w:firstLine="480" w:firstLineChars="200"/>
        <w:rPr>
          <w:rFonts w:ascii="宋体" w:hAnsi="宋体"/>
          <w:sz w:val="24"/>
          <w:szCs w:val="24"/>
        </w:rPr>
      </w:pPr>
      <w:r>
        <w:rPr>
          <w:rFonts w:hint="eastAsia" w:ascii="宋体" w:hAnsi="宋体"/>
          <w:sz w:val="24"/>
          <w:szCs w:val="24"/>
        </w:rPr>
        <w:t>（2）经监督管理部门批准后，现场可以转为其他采购方式。</w:t>
      </w:r>
    </w:p>
    <w:p>
      <w:pPr>
        <w:spacing w:line="500" w:lineRule="exact"/>
        <w:ind w:firstLine="480" w:firstLineChars="200"/>
        <w:rPr>
          <w:rFonts w:ascii="宋体" w:hAnsi="宋体"/>
          <w:sz w:val="24"/>
          <w:szCs w:val="24"/>
        </w:rPr>
      </w:pPr>
      <w:r>
        <w:rPr>
          <w:rFonts w:hint="eastAsia" w:ascii="宋体" w:hAnsi="宋体"/>
          <w:sz w:val="24"/>
          <w:szCs w:val="24"/>
        </w:rPr>
        <w:t>4、重新组织磋商，采购单位将委托代理机构通过在六安市</w:t>
      </w:r>
      <w:r>
        <w:rPr>
          <w:rFonts w:ascii="宋体" w:hAnsi="宋体"/>
          <w:sz w:val="24"/>
          <w:szCs w:val="24"/>
        </w:rPr>
        <w:t>公共资源交易</w:t>
      </w:r>
      <w:r>
        <w:rPr>
          <w:rFonts w:hint="eastAsia" w:ascii="宋体" w:hAnsi="宋体"/>
          <w:sz w:val="24"/>
          <w:szCs w:val="24"/>
        </w:rPr>
        <w:t>电子服务</w:t>
      </w:r>
      <w:r>
        <w:rPr>
          <w:rFonts w:ascii="宋体" w:hAnsi="宋体"/>
          <w:sz w:val="24"/>
          <w:szCs w:val="24"/>
        </w:rPr>
        <w:t>系统</w:t>
      </w:r>
      <w:r>
        <w:rPr>
          <w:rFonts w:hint="eastAsia" w:ascii="宋体" w:hAnsi="宋体"/>
          <w:sz w:val="24"/>
          <w:szCs w:val="24"/>
        </w:rPr>
        <w:t>进行公告。</w:t>
      </w:r>
    </w:p>
    <w:p>
      <w:pPr>
        <w:pStyle w:val="4"/>
        <w:spacing w:beforeLines="50" w:afterLines="50" w:line="52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71"/>
    </w:p>
    <w:p>
      <w:pPr>
        <w:spacing w:line="520" w:lineRule="exact"/>
        <w:ind w:firstLine="480" w:firstLineChars="200"/>
        <w:rPr>
          <w:rFonts w:ascii="宋体" w:hAnsi="宋体"/>
          <w:sz w:val="24"/>
          <w:szCs w:val="24"/>
        </w:rPr>
      </w:pPr>
      <w:r>
        <w:rPr>
          <w:rFonts w:hint="eastAsia" w:ascii="宋体" w:hAnsi="宋体"/>
          <w:sz w:val="24"/>
          <w:szCs w:val="24"/>
        </w:rPr>
        <w:t>1、响应报价应含有所投服务所有环节所发生的一切费用。响应报价为供应商在响应文件中提出的各项支付金额的总和。只有总价而没有分项报价的响应文件无效。</w:t>
      </w:r>
    </w:p>
    <w:p>
      <w:pPr>
        <w:spacing w:line="520" w:lineRule="exact"/>
        <w:ind w:firstLine="480" w:firstLineChars="200"/>
        <w:rPr>
          <w:rFonts w:ascii="宋体" w:hAnsi="宋体"/>
          <w:sz w:val="24"/>
          <w:szCs w:val="24"/>
        </w:rPr>
      </w:pPr>
      <w:r>
        <w:rPr>
          <w:rFonts w:hint="eastAsia" w:ascii="宋体" w:hAnsi="宋体"/>
          <w:sz w:val="24"/>
          <w:szCs w:val="24"/>
        </w:rPr>
        <w:t>2、采购人设有最高限价的，供应商的响应报价不得超过最高限价。</w:t>
      </w:r>
    </w:p>
    <w:p>
      <w:pPr>
        <w:spacing w:line="520" w:lineRule="exact"/>
        <w:ind w:firstLine="480" w:firstLineChars="200"/>
        <w:rPr>
          <w:rFonts w:ascii="宋体" w:hAnsi="宋体"/>
          <w:sz w:val="24"/>
          <w:szCs w:val="24"/>
        </w:rPr>
      </w:pPr>
      <w:r>
        <w:rPr>
          <w:rFonts w:hint="eastAsia" w:ascii="宋体" w:hAnsi="宋体"/>
          <w:sz w:val="24"/>
          <w:szCs w:val="24"/>
        </w:rPr>
        <w:t>3、供应商如果对磋商文件的其他任何内容有相关疑问，可</w:t>
      </w:r>
      <w:r>
        <w:rPr>
          <w:rFonts w:hint="eastAsia" w:ascii="宋体" w:hAnsi="宋体"/>
          <w:sz w:val="24"/>
        </w:rPr>
        <w:t>以以邮件形式提出。疑问的提出与答疑获取具体步骤：供应商详见采购公告“七、其他事宜”第2条，供应商须知前附表12、13条。</w:t>
      </w:r>
    </w:p>
    <w:p>
      <w:pPr>
        <w:spacing w:line="520" w:lineRule="exact"/>
        <w:ind w:firstLine="480" w:firstLineChars="200"/>
        <w:rPr>
          <w:rFonts w:ascii="宋体" w:hAnsi="宋体" w:cs="宋体"/>
          <w:sz w:val="24"/>
          <w:szCs w:val="24"/>
        </w:rPr>
      </w:pPr>
      <w:r>
        <w:rPr>
          <w:rFonts w:hint="eastAsia" w:ascii="宋体" w:hAnsi="宋体"/>
          <w:sz w:val="24"/>
          <w:szCs w:val="24"/>
        </w:rPr>
        <w:t>4、供应商应确保其所提供的响应资料的真实性、有效性及合法性，否则，由此引起的任何责任由其自行承担。</w:t>
      </w:r>
    </w:p>
    <w:p>
      <w:pPr>
        <w:pStyle w:val="4"/>
        <w:spacing w:beforeLines="50" w:afterLines="50" w:line="520" w:lineRule="exact"/>
        <w:jc w:val="center"/>
        <w:rPr>
          <w:rFonts w:ascii="宋体" w:hAnsi="宋体" w:eastAsia="宋体" w:cs="宋体"/>
          <w:sz w:val="24"/>
          <w:szCs w:val="24"/>
        </w:rPr>
      </w:pPr>
      <w:bookmarkStart w:id="72" w:name="_Toc19999"/>
      <w:r>
        <w:rPr>
          <w:rFonts w:hint="eastAsia" w:ascii="宋体" w:hAnsi="宋体" w:eastAsia="宋体" w:cs="宋体"/>
          <w:sz w:val="24"/>
          <w:szCs w:val="24"/>
        </w:rPr>
        <w:t>（八）合同的签订</w:t>
      </w:r>
      <w:bookmarkEnd w:id="72"/>
    </w:p>
    <w:p>
      <w:pPr>
        <w:spacing w:line="500" w:lineRule="exact"/>
        <w:ind w:firstLine="480" w:firstLineChars="200"/>
        <w:rPr>
          <w:rFonts w:ascii="宋体" w:hAnsi="宋体"/>
          <w:sz w:val="24"/>
          <w:szCs w:val="24"/>
        </w:rPr>
      </w:pPr>
      <w:bookmarkStart w:id="73" w:name="_Toc1832"/>
      <w:r>
        <w:rPr>
          <w:rFonts w:hint="eastAsia" w:ascii="宋体" w:hAnsi="宋体"/>
          <w:sz w:val="24"/>
          <w:szCs w:val="24"/>
        </w:rPr>
        <w:t>1、采购人授权磋商小组确认成交人。</w:t>
      </w:r>
    </w:p>
    <w:p>
      <w:pPr>
        <w:spacing w:line="50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50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rPr>
        <w:t>30</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50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p>
    <w:p>
      <w:pPr>
        <w:spacing w:line="50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50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50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50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50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50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50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50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500" w:lineRule="exact"/>
        <w:ind w:firstLine="480" w:firstLineChars="200"/>
        <w:rPr>
          <w:rFonts w:ascii="宋体" w:hAnsi="宋体"/>
          <w:sz w:val="24"/>
          <w:szCs w:val="24"/>
        </w:rPr>
      </w:pPr>
      <w:r>
        <w:rPr>
          <w:rFonts w:hint="eastAsia" w:ascii="宋体" w:hAnsi="宋体"/>
          <w:sz w:val="24"/>
          <w:szCs w:val="24"/>
        </w:rPr>
        <w:t>第二十条 ……</w:t>
      </w:r>
    </w:p>
    <w:p>
      <w:pPr>
        <w:spacing w:line="50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500" w:lineRule="exact"/>
        <w:ind w:firstLine="480" w:firstLineChars="200"/>
        <w:rPr>
          <w:rFonts w:ascii="宋体" w:hAnsi="宋体"/>
          <w:sz w:val="24"/>
          <w:szCs w:val="24"/>
        </w:rPr>
      </w:pPr>
      <w:r>
        <w:rPr>
          <w:rFonts w:hint="eastAsia" w:ascii="宋体" w:hAnsi="宋体"/>
          <w:sz w:val="24"/>
          <w:szCs w:val="24"/>
        </w:rPr>
        <w:t>（三）除因不可抗力或磋商文件、询价通知书认可的情形以外，成交供应商不与采购人签订合同的；……</w:t>
      </w:r>
    </w:p>
    <w:p>
      <w:pPr>
        <w:spacing w:line="50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50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4"/>
        <w:spacing w:beforeLines="50" w:afterLines="50" w:line="520" w:lineRule="exact"/>
        <w:jc w:val="center"/>
        <w:rPr>
          <w:rFonts w:ascii="宋体" w:hAnsi="宋体" w:eastAsia="宋体" w:cs="宋体"/>
          <w:sz w:val="24"/>
          <w:szCs w:val="24"/>
        </w:rPr>
      </w:pPr>
      <w:r>
        <w:rPr>
          <w:rFonts w:hint="eastAsia" w:ascii="宋体" w:hAnsi="宋体" w:eastAsia="宋体" w:cs="宋体"/>
          <w:sz w:val="24"/>
          <w:szCs w:val="24"/>
        </w:rPr>
        <w:t>（九）澄清及变更</w:t>
      </w:r>
      <w:bookmarkEnd w:id="73"/>
    </w:p>
    <w:p>
      <w:pPr>
        <w:spacing w:line="520" w:lineRule="exact"/>
        <w:ind w:firstLine="480" w:firstLineChars="200"/>
      </w:pPr>
      <w:r>
        <w:rPr>
          <w:rFonts w:hint="eastAsia" w:ascii="宋体" w:hAnsi="宋体"/>
          <w:sz w:val="24"/>
          <w:szCs w:val="24"/>
        </w:rPr>
        <w:t>磋商文件如有澄清及变更，将以网上公告形式发布，请供应商及时关注。</w:t>
      </w:r>
    </w:p>
    <w:p>
      <w:pPr>
        <w:pStyle w:val="4"/>
        <w:spacing w:beforeLines="50" w:afterLines="50" w:line="520" w:lineRule="exact"/>
        <w:jc w:val="center"/>
        <w:rPr>
          <w:rFonts w:ascii="宋体" w:hAnsi="宋体" w:eastAsia="宋体" w:cs="宋体"/>
          <w:sz w:val="24"/>
          <w:szCs w:val="24"/>
        </w:rPr>
      </w:pPr>
      <w:bookmarkStart w:id="74" w:name="_Toc18928"/>
      <w:r>
        <w:rPr>
          <w:rFonts w:hint="eastAsia" w:ascii="宋体" w:hAnsi="宋体" w:eastAsia="宋体" w:cs="宋体"/>
          <w:sz w:val="24"/>
          <w:szCs w:val="24"/>
        </w:rPr>
        <w:t>（十）验收</w:t>
      </w:r>
      <w:bookmarkEnd w:id="74"/>
    </w:p>
    <w:p>
      <w:pPr>
        <w:spacing w:line="520" w:lineRule="exact"/>
        <w:ind w:firstLine="480" w:firstLineChars="200"/>
        <w:rPr>
          <w:rFonts w:ascii="宋体" w:hAnsi="宋体"/>
          <w:sz w:val="24"/>
          <w:szCs w:val="24"/>
        </w:rPr>
      </w:pPr>
      <w:r>
        <w:rPr>
          <w:rFonts w:hint="eastAsia" w:ascii="宋体" w:hAnsi="宋体"/>
          <w:sz w:val="24"/>
          <w:szCs w:val="24"/>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520" w:lineRule="exact"/>
        <w:ind w:firstLine="480" w:firstLineChars="200"/>
        <w:rPr>
          <w:rFonts w:ascii="宋体" w:hAnsi="宋体"/>
          <w:sz w:val="24"/>
          <w:szCs w:val="24"/>
        </w:rPr>
      </w:pPr>
      <w:r>
        <w:rPr>
          <w:rFonts w:hint="eastAsia" w:ascii="宋体" w:hAnsi="宋体"/>
          <w:sz w:val="24"/>
          <w:szCs w:val="24"/>
        </w:rPr>
        <w:t>2、涉及安全、消防、环保等其他需要由质检或行业主管部门进行验收的项目，必须邀请相关部门或相关专家参与验收。</w:t>
      </w:r>
    </w:p>
    <w:p>
      <w:pPr>
        <w:pStyle w:val="4"/>
        <w:spacing w:beforeLines="50" w:afterLines="50" w:line="520" w:lineRule="exact"/>
        <w:jc w:val="center"/>
        <w:rPr>
          <w:rFonts w:ascii="宋体" w:hAnsi="宋体" w:eastAsia="宋体" w:cs="宋体"/>
          <w:sz w:val="24"/>
          <w:szCs w:val="24"/>
        </w:rPr>
      </w:pPr>
      <w:bookmarkStart w:id="75" w:name="_Toc3680"/>
      <w:r>
        <w:rPr>
          <w:rFonts w:hint="eastAsia" w:ascii="宋体" w:hAnsi="宋体" w:eastAsia="宋体" w:cs="宋体"/>
          <w:sz w:val="24"/>
          <w:szCs w:val="24"/>
        </w:rPr>
        <w:t>（十一）质疑</w:t>
      </w:r>
      <w:bookmarkEnd w:id="75"/>
    </w:p>
    <w:p>
      <w:pPr>
        <w:spacing w:line="520" w:lineRule="exact"/>
        <w:ind w:firstLine="480" w:firstLineChars="200"/>
        <w:rPr>
          <w:rFonts w:ascii="宋体" w:hAnsi="宋体"/>
          <w:bCs/>
          <w:sz w:val="24"/>
        </w:rPr>
      </w:pPr>
      <w:r>
        <w:rPr>
          <w:rFonts w:hint="eastAsia" w:ascii="宋体" w:hAnsi="宋体"/>
          <w:bCs/>
          <w:sz w:val="24"/>
        </w:rPr>
        <w:t>1、质疑人认为磋商结果使自己的权益受到损害的，可以向采购人及采购代理机构提出质疑。质疑实行实名制，应当有具体的事项及根据，不得进行虚假、恶意质疑，扰乱公共资源交易活动的正常工作秩序。</w:t>
      </w:r>
    </w:p>
    <w:p>
      <w:pPr>
        <w:spacing w:line="52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52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pPr>
        <w:spacing w:line="52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widowControl/>
        <w:spacing w:line="520" w:lineRule="exact"/>
        <w:ind w:firstLine="480" w:firstLineChars="200"/>
        <w:jc w:val="left"/>
        <w:rPr>
          <w:rFonts w:ascii="宋体" w:hAnsi="宋体"/>
          <w:bCs/>
          <w:sz w:val="24"/>
        </w:rPr>
      </w:pPr>
      <w:r>
        <w:rPr>
          <w:rFonts w:hint="eastAsia" w:ascii="宋体" w:hAnsi="宋体"/>
          <w:bCs/>
          <w:sz w:val="24"/>
        </w:rPr>
        <w:t>3.1质疑人的名称、地址、有效联系方式；</w:t>
      </w:r>
    </w:p>
    <w:p>
      <w:pPr>
        <w:widowControl/>
        <w:spacing w:line="520" w:lineRule="exact"/>
        <w:ind w:firstLine="480" w:firstLineChars="200"/>
        <w:jc w:val="left"/>
        <w:rPr>
          <w:rFonts w:ascii="宋体" w:hAnsi="宋体"/>
          <w:bCs/>
          <w:sz w:val="24"/>
        </w:rPr>
      </w:pPr>
      <w:r>
        <w:rPr>
          <w:rFonts w:hint="eastAsia" w:ascii="宋体" w:hAnsi="宋体"/>
          <w:bCs/>
          <w:sz w:val="24"/>
        </w:rPr>
        <w:t>3.2项目名称、项目编号、包别号（如有）；</w:t>
      </w:r>
    </w:p>
    <w:p>
      <w:pPr>
        <w:widowControl/>
        <w:spacing w:line="520" w:lineRule="exact"/>
        <w:ind w:firstLine="480" w:firstLineChars="200"/>
        <w:jc w:val="left"/>
        <w:rPr>
          <w:rFonts w:ascii="宋体" w:hAnsi="宋体"/>
          <w:bCs/>
          <w:sz w:val="24"/>
        </w:rPr>
      </w:pPr>
      <w:r>
        <w:rPr>
          <w:rFonts w:hint="eastAsia" w:ascii="宋体" w:hAnsi="宋体"/>
          <w:bCs/>
          <w:sz w:val="24"/>
        </w:rPr>
        <w:t>3.3被质疑人名称；</w:t>
      </w:r>
    </w:p>
    <w:p>
      <w:pPr>
        <w:widowControl/>
        <w:spacing w:line="52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pPr>
        <w:widowControl/>
        <w:spacing w:line="520" w:lineRule="exact"/>
        <w:ind w:firstLine="480" w:firstLineChars="200"/>
        <w:jc w:val="left"/>
        <w:rPr>
          <w:rFonts w:ascii="宋体" w:hAnsi="宋体"/>
          <w:bCs/>
          <w:sz w:val="24"/>
        </w:rPr>
      </w:pPr>
      <w:r>
        <w:rPr>
          <w:rFonts w:hint="eastAsia" w:ascii="宋体" w:hAnsi="宋体"/>
          <w:bCs/>
          <w:sz w:val="24"/>
        </w:rPr>
        <w:t>3.5明确的请求及主张；</w:t>
      </w:r>
    </w:p>
    <w:p>
      <w:pPr>
        <w:widowControl/>
        <w:spacing w:line="520" w:lineRule="exact"/>
        <w:ind w:firstLine="480" w:firstLineChars="200"/>
        <w:jc w:val="left"/>
        <w:rPr>
          <w:rFonts w:ascii="宋体" w:hAnsi="宋体"/>
          <w:bCs/>
          <w:sz w:val="24"/>
        </w:rPr>
      </w:pPr>
      <w:r>
        <w:rPr>
          <w:rFonts w:hint="eastAsia" w:ascii="宋体" w:hAnsi="宋体"/>
          <w:bCs/>
          <w:sz w:val="24"/>
        </w:rPr>
        <w:t>3.6提起质疑的日期。</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pPr>
        <w:spacing w:line="52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pPr>
        <w:widowControl/>
        <w:spacing w:line="520" w:lineRule="exact"/>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pPr>
        <w:spacing w:line="52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52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52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质疑人对质疑答复不满意或采购人及采购代理机构未在规定时间内做出答复的，可以在规定期限内向霍山县公共资源交易监督管理局提起投诉。</w:t>
      </w:r>
    </w:p>
    <w:p>
      <w:pPr>
        <w:spacing w:line="520" w:lineRule="exact"/>
        <w:ind w:firstLine="480" w:firstLineChars="200"/>
        <w:rPr>
          <w:rFonts w:ascii="宋体" w:hAnsi="宋体"/>
          <w:bCs/>
          <w:sz w:val="24"/>
        </w:rPr>
      </w:pPr>
      <w:r>
        <w:rPr>
          <w:rFonts w:hint="eastAsia" w:ascii="宋体" w:hAnsi="宋体"/>
          <w:bCs/>
          <w:sz w:val="24"/>
        </w:rPr>
        <w:t>质疑人应在答复期满后十五个工作日内提起投诉。</w:t>
      </w:r>
    </w:p>
    <w:p>
      <w:pPr>
        <w:spacing w:line="520" w:lineRule="exact"/>
        <w:ind w:firstLine="480" w:firstLineChars="200"/>
        <w:rPr>
          <w:rFonts w:ascii="宋体" w:hAnsi="宋体"/>
          <w:bCs/>
          <w:sz w:val="24"/>
        </w:rPr>
      </w:pPr>
      <w:r>
        <w:rPr>
          <w:rFonts w:hint="eastAsia" w:ascii="宋体" w:hAnsi="宋体"/>
          <w:bCs/>
          <w:sz w:val="24"/>
        </w:rPr>
        <w:t>7、质疑人有下列情形之一的，属于虚假、恶意质疑，将报霍山县公共资源交易监督管理局予以处理。</w:t>
      </w:r>
    </w:p>
    <w:p>
      <w:pPr>
        <w:spacing w:line="520" w:lineRule="exact"/>
        <w:ind w:firstLine="480" w:firstLineChars="200"/>
        <w:rPr>
          <w:rFonts w:ascii="宋体" w:hAnsi="宋体"/>
          <w:bCs/>
          <w:sz w:val="24"/>
        </w:rPr>
      </w:pPr>
      <w:r>
        <w:rPr>
          <w:rFonts w:hint="eastAsia" w:ascii="宋体" w:hAnsi="宋体"/>
          <w:bCs/>
          <w:sz w:val="24"/>
        </w:rPr>
        <w:t>7.1一年内三次以上质疑均查无实据的；</w:t>
      </w:r>
    </w:p>
    <w:p>
      <w:pPr>
        <w:spacing w:line="520" w:lineRule="exact"/>
        <w:ind w:firstLine="480" w:firstLineChars="200"/>
        <w:rPr>
          <w:rFonts w:ascii="宋体" w:hAnsi="宋体" w:cs="宋体"/>
          <w:sz w:val="28"/>
          <w:szCs w:val="28"/>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bookmarkStart w:id="76" w:name="_Toc216158630"/>
    </w:p>
    <w:p>
      <w:pPr>
        <w:pStyle w:val="4"/>
        <w:spacing w:before="0" w:after="0" w:line="560" w:lineRule="exact"/>
        <w:jc w:val="center"/>
        <w:rPr>
          <w:rFonts w:ascii="宋体" w:hAnsi="宋体" w:eastAsia="宋体" w:cs="宋体"/>
          <w:sz w:val="28"/>
          <w:szCs w:val="28"/>
        </w:rPr>
      </w:pPr>
      <w:bookmarkStart w:id="77" w:name="_Toc22378"/>
    </w:p>
    <w:p>
      <w:pPr>
        <w:pStyle w:val="4"/>
        <w:spacing w:before="0" w:after="0" w:line="560" w:lineRule="exact"/>
        <w:jc w:val="center"/>
        <w:rPr>
          <w:rFonts w:ascii="宋体" w:hAnsi="宋体" w:eastAsia="宋体" w:cs="宋体"/>
          <w:sz w:val="28"/>
          <w:szCs w:val="28"/>
        </w:rPr>
      </w:pPr>
    </w:p>
    <w:p>
      <w:pPr>
        <w:pStyle w:val="4"/>
        <w:spacing w:before="0" w:after="0" w:line="560" w:lineRule="exact"/>
        <w:jc w:val="center"/>
        <w:rPr>
          <w:rFonts w:ascii="宋体" w:hAnsi="宋体" w:eastAsia="宋体" w:cs="宋体"/>
          <w:sz w:val="28"/>
          <w:szCs w:val="28"/>
        </w:rPr>
      </w:pPr>
    </w:p>
    <w:p>
      <w:pPr>
        <w:pStyle w:val="4"/>
        <w:spacing w:before="0" w:after="0" w:line="560" w:lineRule="exact"/>
        <w:jc w:val="center"/>
        <w:rPr>
          <w:rFonts w:ascii="宋体" w:hAnsi="宋体" w:eastAsia="宋体" w:cs="宋体"/>
          <w:sz w:val="28"/>
          <w:szCs w:val="28"/>
        </w:rPr>
      </w:pPr>
    </w:p>
    <w:p/>
    <w:p>
      <w:pPr>
        <w:pStyle w:val="4"/>
        <w:spacing w:before="0" w:after="0" w:line="560" w:lineRule="exact"/>
        <w:jc w:val="center"/>
        <w:rPr>
          <w:rFonts w:hint="eastAsia" w:ascii="宋体" w:hAnsi="宋体" w:eastAsia="宋体" w:cs="宋体"/>
          <w:sz w:val="28"/>
          <w:szCs w:val="28"/>
        </w:rPr>
      </w:pPr>
    </w:p>
    <w:p>
      <w:pPr>
        <w:pStyle w:val="4"/>
        <w:spacing w:before="0" w:after="0" w:line="560" w:lineRule="exact"/>
        <w:jc w:val="center"/>
        <w:rPr>
          <w:rFonts w:ascii="宋体" w:hAnsi="宋体" w:eastAsia="宋体" w:cs="宋体"/>
          <w:sz w:val="28"/>
          <w:szCs w:val="28"/>
        </w:rPr>
      </w:pPr>
      <w:r>
        <w:rPr>
          <w:rFonts w:hint="eastAsia" w:ascii="宋体" w:hAnsi="宋体" w:eastAsia="宋体" w:cs="宋体"/>
          <w:sz w:val="28"/>
          <w:szCs w:val="28"/>
        </w:rPr>
        <w:t>二、采购合同</w:t>
      </w:r>
      <w:bookmarkEnd w:id="77"/>
    </w:p>
    <w:bookmarkEnd w:id="76"/>
    <w:p>
      <w:pPr>
        <w:spacing w:line="253" w:lineRule="auto"/>
      </w:pPr>
      <w:bookmarkStart w:id="78" w:name="_Toc363199273"/>
    </w:p>
    <w:p>
      <w:pPr>
        <w:spacing w:before="55"/>
        <w:ind w:left="3167"/>
        <w:rPr>
          <w:b/>
          <w:sz w:val="32"/>
        </w:rPr>
      </w:pPr>
      <w:r>
        <w:rPr>
          <w:b/>
          <w:sz w:val="32"/>
        </w:rPr>
        <w:t>第一节 通用合同条款</w:t>
      </w:r>
    </w:p>
    <w:p>
      <w:pPr>
        <w:pStyle w:val="11"/>
        <w:rPr>
          <w:b/>
          <w:sz w:val="20"/>
        </w:rPr>
      </w:pPr>
    </w:p>
    <w:p>
      <w:pPr>
        <w:pStyle w:val="11"/>
        <w:spacing w:before="8"/>
        <w:rPr>
          <w:b/>
          <w:sz w:val="19"/>
        </w:rPr>
      </w:pPr>
    </w:p>
    <w:p>
      <w:pPr>
        <w:pStyle w:val="107"/>
        <w:numPr>
          <w:ilvl w:val="0"/>
          <w:numId w:val="4"/>
        </w:numPr>
        <w:tabs>
          <w:tab w:val="left" w:pos="669"/>
        </w:tabs>
        <w:spacing w:before="54"/>
        <w:ind w:left="247" w:leftChars="0" w:hanging="247" w:hangingChars="77"/>
        <w:jc w:val="left"/>
        <w:rPr>
          <w:b/>
          <w:sz w:val="32"/>
        </w:rPr>
      </w:pPr>
      <w:bookmarkStart w:id="79" w:name="_bookmark111"/>
      <w:bookmarkEnd w:id="79"/>
      <w:r>
        <w:rPr>
          <w:b/>
          <w:sz w:val="32"/>
        </w:rPr>
        <w:t>一般约定</w:t>
      </w:r>
    </w:p>
    <w:p>
      <w:pPr>
        <w:pStyle w:val="6"/>
        <w:numPr>
          <w:ilvl w:val="1"/>
          <w:numId w:val="4"/>
        </w:numPr>
        <w:tabs>
          <w:tab w:val="left" w:pos="801"/>
        </w:tabs>
        <w:spacing w:before="264"/>
        <w:ind w:hanging="426"/>
        <w:rPr>
          <w:sz w:val="20"/>
        </w:rPr>
      </w:pPr>
      <w:bookmarkStart w:id="80" w:name="_bookmark112"/>
      <w:bookmarkEnd w:id="80"/>
      <w:r>
        <w:rPr>
          <w:spacing w:val="-1"/>
        </w:rPr>
        <w:t>词语定义</w:t>
      </w:r>
    </w:p>
    <w:p>
      <w:pPr>
        <w:pStyle w:val="11"/>
        <w:spacing w:line="364" w:lineRule="auto"/>
        <w:ind w:left="651" w:right="3185" w:firstLine="7"/>
      </w:pPr>
      <w:r>
        <w:t>通用合同条款、专用合同条款中的下列词语应具有本款所赋予的含义。</w:t>
      </w:r>
    </w:p>
    <w:p>
      <w:pPr>
        <w:pStyle w:val="11"/>
        <w:spacing w:line="364" w:lineRule="auto"/>
        <w:ind w:left="210" w:leftChars="100" w:right="3185" w:firstLine="10"/>
      </w:pPr>
      <w:r>
        <w:t xml:space="preserve">1.1.1 合同 </w:t>
      </w:r>
    </w:p>
    <w:p>
      <w:pPr>
        <w:pStyle w:val="107"/>
        <w:numPr>
          <w:ilvl w:val="3"/>
          <w:numId w:val="5"/>
        </w:numPr>
        <w:spacing w:line="367" w:lineRule="auto"/>
        <w:ind w:left="0" w:right="36" w:firstLine="396"/>
      </w:pPr>
      <w:r>
        <w:rPr>
          <w:spacing w:val="-6"/>
        </w:rPr>
        <w:t>合同文件</w:t>
      </w:r>
      <w:r>
        <w:t>（</w:t>
      </w:r>
      <w:r>
        <w:rPr>
          <w:spacing w:val="-2"/>
        </w:rPr>
        <w:t>或称合同</w:t>
      </w:r>
      <w:r>
        <w:rPr>
          <w:spacing w:val="-108"/>
        </w:rPr>
        <w:t>）</w:t>
      </w:r>
      <w:r>
        <w:rPr>
          <w:spacing w:val="-9"/>
        </w:rPr>
        <w:t>：指合同协议书、中标通知书、投标函和投标函附录、专用合同条</w:t>
      </w:r>
      <w:r>
        <w:rPr>
          <w:spacing w:val="-15"/>
        </w:rPr>
        <w:t>款、通用合同条款、委托人要求、监理报酬清单、监理大纲，以及其他构成合同组成部分的文件。</w:t>
      </w:r>
    </w:p>
    <w:p>
      <w:pPr>
        <w:pStyle w:val="107"/>
        <w:numPr>
          <w:ilvl w:val="3"/>
          <w:numId w:val="5"/>
        </w:numPr>
        <w:tabs>
          <w:tab w:val="left" w:pos="0"/>
        </w:tabs>
        <w:spacing w:line="264" w:lineRule="exact"/>
        <w:ind w:left="220" w:firstLine="0" w:firstLineChars="0"/>
      </w:pPr>
      <w:r>
        <w:rPr>
          <w:spacing w:val="-3"/>
        </w:rPr>
        <w:t>合同协议书：指委托人和监理人共同签署的合同协议书。</w:t>
      </w:r>
    </w:p>
    <w:p>
      <w:pPr>
        <w:pStyle w:val="107"/>
        <w:numPr>
          <w:ilvl w:val="3"/>
          <w:numId w:val="5"/>
        </w:numPr>
        <w:tabs>
          <w:tab w:val="left" w:pos="840"/>
        </w:tabs>
        <w:spacing w:before="138"/>
        <w:ind w:left="426" w:leftChars="141" w:hanging="130" w:hangingChars="64"/>
      </w:pPr>
      <w:r>
        <w:rPr>
          <w:spacing w:val="-3"/>
        </w:rPr>
        <w:t>中标通知书：指委托人通知监理人中标的函件。</w:t>
      </w:r>
    </w:p>
    <w:p>
      <w:pPr>
        <w:pStyle w:val="107"/>
        <w:numPr>
          <w:ilvl w:val="3"/>
          <w:numId w:val="5"/>
        </w:numPr>
        <w:spacing w:before="139"/>
        <w:ind w:left="409" w:leftChars="195" w:firstLine="10" w:firstLineChars="0"/>
      </w:pPr>
      <w:r>
        <w:rPr>
          <w:spacing w:val="-3"/>
        </w:rPr>
        <w:t>投标函：指由监理人填写并签署的，名为“投标函”的函件。</w:t>
      </w:r>
    </w:p>
    <w:p>
      <w:pPr>
        <w:pStyle w:val="107"/>
        <w:numPr>
          <w:ilvl w:val="3"/>
          <w:numId w:val="5"/>
        </w:numPr>
        <w:spacing w:before="141"/>
        <w:ind w:left="13" w:leftChars="6" w:firstLine="405" w:firstLineChars="225"/>
      </w:pPr>
      <w:r>
        <w:rPr>
          <w:spacing w:val="-15"/>
        </w:rPr>
        <w:t>投标函附录：指由监理人填写并签署的、附在投标函后，名为“投标函附录”的函件。</w:t>
      </w:r>
    </w:p>
    <w:p>
      <w:pPr>
        <w:pStyle w:val="107"/>
        <w:numPr>
          <w:ilvl w:val="3"/>
          <w:numId w:val="5"/>
        </w:numPr>
        <w:spacing w:before="139"/>
        <w:ind w:left="748" w:leftChars="200" w:hanging="328" w:hangingChars="161"/>
      </w:pPr>
      <w:r>
        <w:rPr>
          <w:spacing w:val="-3"/>
        </w:rPr>
        <w:t>委托人要求：指合同文件中名为“委托人要求”的文件。</w:t>
      </w:r>
    </w:p>
    <w:p>
      <w:pPr>
        <w:pStyle w:val="107"/>
        <w:numPr>
          <w:ilvl w:val="3"/>
          <w:numId w:val="5"/>
        </w:numPr>
        <w:spacing w:before="139"/>
        <w:ind w:left="752" w:leftChars="200" w:hanging="332" w:hangingChars="163"/>
      </w:pPr>
      <w:r>
        <w:rPr>
          <w:spacing w:val="-3"/>
        </w:rPr>
        <w:t>监理大纲：指监理人在投标文件中的监理大纲。</w:t>
      </w:r>
    </w:p>
    <w:p>
      <w:pPr>
        <w:pStyle w:val="107"/>
        <w:numPr>
          <w:ilvl w:val="3"/>
          <w:numId w:val="5"/>
        </w:numPr>
        <w:spacing w:before="139"/>
        <w:ind w:left="752" w:leftChars="200" w:hanging="332" w:hangingChars="163"/>
      </w:pPr>
      <w:r>
        <w:rPr>
          <w:spacing w:val="-3"/>
        </w:rPr>
        <w:t>监理报酬清单：指监理人投标文件中的监理报酬清单。</w:t>
      </w:r>
    </w:p>
    <w:p>
      <w:pPr>
        <w:pStyle w:val="107"/>
        <w:numPr>
          <w:ilvl w:val="3"/>
          <w:numId w:val="5"/>
        </w:numPr>
        <w:spacing w:before="139"/>
        <w:ind w:left="752" w:leftChars="200" w:hanging="332" w:hangingChars="163"/>
      </w:pPr>
      <w:r>
        <w:rPr>
          <w:spacing w:val="-3"/>
        </w:rPr>
        <w:t xml:space="preserve">其他合同文件：指经合同双方当事人确认构成合同文件的其他文件。 </w:t>
      </w:r>
    </w:p>
    <w:p>
      <w:pPr>
        <w:pStyle w:val="107"/>
        <w:numPr>
          <w:ilvl w:val="2"/>
          <w:numId w:val="6"/>
        </w:numPr>
        <w:tabs>
          <w:tab w:val="left" w:pos="1181"/>
        </w:tabs>
        <w:spacing w:before="141"/>
        <w:ind w:left="0" w:firstLine="408"/>
      </w:pPr>
      <w:r>
        <w:rPr>
          <w:spacing w:val="-3"/>
        </w:rPr>
        <w:t>合同当事人和人员</w:t>
      </w:r>
    </w:p>
    <w:p>
      <w:pPr>
        <w:pStyle w:val="107"/>
        <w:numPr>
          <w:ilvl w:val="3"/>
          <w:numId w:val="6"/>
        </w:numPr>
        <w:tabs>
          <w:tab w:val="left" w:pos="1397"/>
        </w:tabs>
        <w:spacing w:before="139"/>
        <w:ind w:left="0" w:firstLine="408"/>
      </w:pPr>
      <w:r>
        <w:rPr>
          <w:spacing w:val="-3"/>
        </w:rPr>
        <w:t>合同当事人：指委托人和（</w:t>
      </w:r>
      <w:r>
        <w:t>或</w:t>
      </w:r>
      <w:r>
        <w:rPr>
          <w:spacing w:val="-3"/>
        </w:rPr>
        <w:t>）监理人。</w:t>
      </w:r>
    </w:p>
    <w:p>
      <w:pPr>
        <w:pStyle w:val="107"/>
        <w:numPr>
          <w:ilvl w:val="3"/>
          <w:numId w:val="6"/>
        </w:numPr>
        <w:tabs>
          <w:tab w:val="left" w:pos="1397"/>
        </w:tabs>
        <w:spacing w:before="139"/>
        <w:ind w:left="0" w:firstLine="408"/>
      </w:pPr>
      <w:r>
        <w:rPr>
          <w:spacing w:val="-3"/>
        </w:rPr>
        <w:t>委托人：指与监理人签订合同协议书的当事人，及其合法继承人。</w:t>
      </w:r>
    </w:p>
    <w:p>
      <w:pPr>
        <w:pStyle w:val="107"/>
        <w:numPr>
          <w:ilvl w:val="3"/>
          <w:numId w:val="6"/>
        </w:numPr>
        <w:tabs>
          <w:tab w:val="left" w:pos="1397"/>
        </w:tabs>
        <w:spacing w:before="139"/>
        <w:ind w:left="0" w:firstLine="408"/>
      </w:pPr>
      <w:r>
        <w:rPr>
          <w:spacing w:val="-3"/>
        </w:rPr>
        <w:t>监理人：指与委托人签订合同协议书的当事人，及其合法继承人。</w:t>
      </w:r>
    </w:p>
    <w:p>
      <w:pPr>
        <w:pStyle w:val="107"/>
        <w:numPr>
          <w:ilvl w:val="3"/>
          <w:numId w:val="6"/>
        </w:numPr>
        <w:tabs>
          <w:tab w:val="left" w:pos="1397"/>
        </w:tabs>
        <w:spacing w:before="139" w:line="367" w:lineRule="auto"/>
        <w:ind w:left="238" w:right="1151" w:firstLine="181" w:firstLineChars="88"/>
      </w:pPr>
      <w:r>
        <w:rPr>
          <w:spacing w:val="-2"/>
        </w:rPr>
        <w:t>委托人代表：指由委托人任命，并在授权范围和期限内代表委托人行使权利和履行义</w:t>
      </w:r>
      <w:r>
        <w:rPr>
          <w:spacing w:val="-3"/>
        </w:rPr>
        <w:t>务的全权负责人。</w:t>
      </w:r>
    </w:p>
    <w:p>
      <w:pPr>
        <w:pStyle w:val="107"/>
        <w:numPr>
          <w:ilvl w:val="3"/>
          <w:numId w:val="6"/>
        </w:numPr>
        <w:tabs>
          <w:tab w:val="left" w:pos="1397"/>
        </w:tabs>
        <w:spacing w:line="264" w:lineRule="exact"/>
        <w:ind w:left="0" w:firstLine="408"/>
      </w:pPr>
      <w:r>
        <w:rPr>
          <w:spacing w:val="-3"/>
        </w:rPr>
        <w:t>总监理工程师：指由监理人任命，代表监理人行使权利和履行义务的全权负责人。</w:t>
      </w:r>
    </w:p>
    <w:p>
      <w:pPr>
        <w:pStyle w:val="107"/>
        <w:numPr>
          <w:ilvl w:val="3"/>
          <w:numId w:val="6"/>
        </w:numPr>
        <w:tabs>
          <w:tab w:val="left" w:pos="1397"/>
        </w:tabs>
        <w:spacing w:before="140"/>
        <w:ind w:left="0" w:firstLine="360"/>
      </w:pPr>
      <w:r>
        <w:rPr>
          <w:spacing w:val="-15"/>
        </w:rPr>
        <w:t xml:space="preserve">承包人：指在本工程监理范围内，与委托人签订勘察、设计、施工承包合同的当事人。 </w:t>
      </w:r>
    </w:p>
    <w:p>
      <w:pPr>
        <w:pStyle w:val="107"/>
        <w:numPr>
          <w:ilvl w:val="2"/>
          <w:numId w:val="6"/>
        </w:numPr>
        <w:tabs>
          <w:tab w:val="left" w:pos="420"/>
        </w:tabs>
        <w:spacing w:before="139"/>
        <w:ind w:left="427" w:hanging="7" w:firstLineChars="0"/>
      </w:pPr>
      <w:r>
        <w:rPr>
          <w:spacing w:val="-3"/>
        </w:rPr>
        <w:t>工程和监理</w:t>
      </w:r>
    </w:p>
    <w:p>
      <w:pPr>
        <w:pStyle w:val="107"/>
        <w:numPr>
          <w:ilvl w:val="3"/>
          <w:numId w:val="6"/>
        </w:numPr>
        <w:tabs>
          <w:tab w:val="left" w:pos="1397"/>
        </w:tabs>
        <w:spacing w:before="141"/>
        <w:ind w:left="0" w:firstLine="408"/>
      </w:pPr>
      <w:r>
        <w:rPr>
          <w:spacing w:val="-3"/>
        </w:rPr>
        <w:t>工程：指永久工程和（</w:t>
      </w:r>
      <w:r>
        <w:t>或</w:t>
      </w:r>
      <w:r>
        <w:rPr>
          <w:spacing w:val="-3"/>
        </w:rPr>
        <w:t>）临时工程。</w:t>
      </w:r>
    </w:p>
    <w:p>
      <w:pPr>
        <w:pStyle w:val="107"/>
        <w:numPr>
          <w:ilvl w:val="3"/>
          <w:numId w:val="6"/>
        </w:numPr>
        <w:tabs>
          <w:tab w:val="left" w:pos="1397"/>
        </w:tabs>
        <w:spacing w:before="139" w:line="364" w:lineRule="auto"/>
        <w:ind w:left="238" w:right="36" w:firstLine="181" w:firstLineChars="88"/>
      </w:pPr>
      <w:r>
        <w:rPr>
          <w:spacing w:val="-2"/>
        </w:rPr>
        <w:t>监理服务：指监理人接受委托人的委托，依照法律、规范标准和监理合同等，对建设</w:t>
      </w:r>
      <w:r>
        <w:rPr>
          <w:spacing w:val="-4"/>
        </w:rPr>
        <w:t>工程勘察、设计或施工等阶段进行质量控制、进度控制、投资控制、合同管理、信息管理、组织协</w:t>
      </w:r>
      <w:r>
        <w:rPr>
          <w:spacing w:val="-3"/>
        </w:rPr>
        <w:t>调和安全监理、环保监理的服务活动。</w:t>
      </w:r>
    </w:p>
    <w:p>
      <w:pPr>
        <w:pStyle w:val="107"/>
        <w:numPr>
          <w:ilvl w:val="3"/>
          <w:numId w:val="6"/>
        </w:numPr>
        <w:tabs>
          <w:tab w:val="left" w:pos="1397"/>
        </w:tabs>
        <w:spacing w:line="364" w:lineRule="auto"/>
        <w:ind w:left="238" w:right="36" w:firstLine="181" w:firstLineChars="88"/>
      </w:pPr>
      <w:r>
        <w:rPr>
          <w:spacing w:val="-2"/>
        </w:rPr>
        <w:t>监理资料：是委托人按合同约定向监理人提供的，用于完成监理范围与内容所需要的</w:t>
      </w:r>
      <w:r>
        <w:rPr>
          <w:spacing w:val="-1"/>
        </w:rPr>
        <w:t>资料。</w:t>
      </w:r>
    </w:p>
    <w:p>
      <w:pPr>
        <w:pStyle w:val="107"/>
        <w:numPr>
          <w:ilvl w:val="3"/>
          <w:numId w:val="6"/>
        </w:numPr>
        <w:tabs>
          <w:tab w:val="left" w:pos="1397"/>
        </w:tabs>
        <w:spacing w:before="61" w:line="364" w:lineRule="auto"/>
        <w:ind w:left="238" w:right="36" w:firstLine="182" w:firstLineChars="100"/>
      </w:pPr>
      <w:r>
        <w:rPr>
          <w:spacing w:val="-14"/>
        </w:rPr>
        <w:t>监理文件：指监理人按合同约定向委托人提交的监理大纲、监理规划、监理实施细则、</w:t>
      </w:r>
      <w:r>
        <w:rPr>
          <w:spacing w:val="-13"/>
        </w:rPr>
        <w:t>监理日志、监理报告、工程质量评估报告、事故处理文件、监理工作总结和其他文件等，包括阶段</w:t>
      </w:r>
      <w:r>
        <w:rPr>
          <w:spacing w:val="-3"/>
        </w:rPr>
        <w:t>性文件和最终文件，且应当采用合同中双方约定的格式和载体。</w:t>
      </w:r>
    </w:p>
    <w:p>
      <w:pPr>
        <w:pStyle w:val="107"/>
        <w:numPr>
          <w:ilvl w:val="2"/>
          <w:numId w:val="6"/>
        </w:numPr>
        <w:tabs>
          <w:tab w:val="left" w:pos="1181"/>
        </w:tabs>
        <w:spacing w:line="267" w:lineRule="exact"/>
        <w:ind w:left="0" w:firstLine="412"/>
      </w:pPr>
      <w:r>
        <w:rPr>
          <w:spacing w:val="-2"/>
        </w:rPr>
        <w:t>日期</w:t>
      </w:r>
    </w:p>
    <w:p>
      <w:pPr>
        <w:pStyle w:val="107"/>
        <w:numPr>
          <w:ilvl w:val="3"/>
          <w:numId w:val="6"/>
        </w:numPr>
        <w:tabs>
          <w:tab w:val="left" w:pos="1397"/>
        </w:tabs>
        <w:spacing w:before="141"/>
        <w:ind w:left="0" w:firstLine="392"/>
      </w:pPr>
      <w:r>
        <w:rPr>
          <w:spacing w:val="-7"/>
        </w:rPr>
        <w:t xml:space="preserve">开始监理通知：指委托人按第 </w:t>
      </w:r>
      <w:r>
        <w:t>6.1</w:t>
      </w:r>
      <w:r>
        <w:rPr>
          <w:spacing w:val="-8"/>
        </w:rPr>
        <w:t xml:space="preserve"> 款通知监理人开始监理的函件。 </w:t>
      </w:r>
    </w:p>
    <w:p>
      <w:pPr>
        <w:pStyle w:val="107"/>
        <w:numPr>
          <w:ilvl w:val="3"/>
          <w:numId w:val="6"/>
        </w:numPr>
        <w:tabs>
          <w:tab w:val="left" w:pos="1397"/>
        </w:tabs>
        <w:spacing w:before="139"/>
        <w:ind w:left="0" w:firstLine="392"/>
      </w:pPr>
      <w:r>
        <w:rPr>
          <w:spacing w:val="-7"/>
        </w:rPr>
        <w:t xml:space="preserve">开始监理日期：指委托人按第 </w:t>
      </w:r>
      <w:r>
        <w:t>6.1</w:t>
      </w:r>
      <w:r>
        <w:rPr>
          <w:spacing w:val="-8"/>
        </w:rPr>
        <w:t xml:space="preserve"> 款发出的开始监理通知中写明的开始监理日期。</w:t>
      </w:r>
    </w:p>
    <w:p>
      <w:pPr>
        <w:pStyle w:val="107"/>
        <w:numPr>
          <w:ilvl w:val="3"/>
          <w:numId w:val="6"/>
        </w:numPr>
        <w:tabs>
          <w:tab w:val="left" w:pos="1397"/>
        </w:tabs>
        <w:spacing w:before="139"/>
        <w:ind w:left="0" w:firstLine="416"/>
      </w:pPr>
      <w:r>
        <w:rPr>
          <w:spacing w:val="-1"/>
        </w:rPr>
        <w:t>监理服务期限：指监理人在投标函中承诺的完成合同监理服务所需的期限，包括按第</w:t>
      </w:r>
    </w:p>
    <w:p>
      <w:pPr>
        <w:pStyle w:val="11"/>
        <w:spacing w:before="139"/>
        <w:ind w:left="238"/>
      </w:pPr>
      <w:r>
        <w:t xml:space="preserve">6.2 款和第 6.3.2 项约定所作的调整。 </w:t>
      </w:r>
    </w:p>
    <w:p>
      <w:pPr>
        <w:pStyle w:val="107"/>
        <w:numPr>
          <w:ilvl w:val="3"/>
          <w:numId w:val="6"/>
        </w:numPr>
        <w:tabs>
          <w:tab w:val="left" w:pos="1397"/>
        </w:tabs>
        <w:spacing w:before="141"/>
        <w:ind w:left="0" w:firstLine="388"/>
      </w:pPr>
      <w:r>
        <w:rPr>
          <w:spacing w:val="-8"/>
        </w:rPr>
        <w:t xml:space="preserve">完成监理日期：指第 </w:t>
      </w:r>
      <w:r>
        <w:t>1.1.4.3</w:t>
      </w:r>
      <w:r>
        <w:rPr>
          <w:spacing w:val="-9"/>
        </w:rPr>
        <w:t xml:space="preserve"> 目约定监理服务期限届满时的日期。 </w:t>
      </w:r>
    </w:p>
    <w:p>
      <w:pPr>
        <w:pStyle w:val="107"/>
        <w:numPr>
          <w:ilvl w:val="3"/>
          <w:numId w:val="6"/>
        </w:numPr>
        <w:tabs>
          <w:tab w:val="left" w:pos="1397"/>
        </w:tabs>
        <w:spacing w:before="140"/>
        <w:ind w:left="0" w:firstLine="392"/>
      </w:pPr>
      <w:r>
        <w:rPr>
          <w:spacing w:val="-7"/>
        </w:rPr>
        <w:t xml:space="preserve">基准日：指投标截止时间前 </w:t>
      </w:r>
      <w:r>
        <w:t>28</w:t>
      </w:r>
      <w:r>
        <w:rPr>
          <w:spacing w:val="-12"/>
        </w:rPr>
        <w:t xml:space="preserve"> 天的日期。</w:t>
      </w:r>
    </w:p>
    <w:p>
      <w:pPr>
        <w:pStyle w:val="107"/>
        <w:numPr>
          <w:ilvl w:val="3"/>
          <w:numId w:val="6"/>
        </w:numPr>
        <w:tabs>
          <w:tab w:val="left" w:pos="1397"/>
        </w:tabs>
        <w:spacing w:before="139" w:line="364" w:lineRule="auto"/>
        <w:ind w:left="238" w:right="1151" w:firstLine="181" w:firstLineChars="88"/>
      </w:pPr>
      <w:r>
        <w:rPr>
          <w:spacing w:val="-2"/>
        </w:rPr>
        <w:t>天：除特别指明外，指日历天。合同中按天计算时间的，开始当天不计入，从次日开</w:t>
      </w:r>
      <w:r>
        <w:rPr>
          <w:spacing w:val="-6"/>
        </w:rPr>
        <w:t xml:space="preserve">始计算。期限最后一天的截止时间为当天 </w:t>
      </w:r>
      <w:r>
        <w:t>24:00</w:t>
      </w:r>
      <w:r>
        <w:rPr>
          <w:spacing w:val="-3"/>
        </w:rPr>
        <w:t>。</w:t>
      </w:r>
    </w:p>
    <w:p>
      <w:pPr>
        <w:pStyle w:val="107"/>
        <w:numPr>
          <w:ilvl w:val="2"/>
          <w:numId w:val="6"/>
        </w:numPr>
        <w:tabs>
          <w:tab w:val="left" w:pos="1181"/>
        </w:tabs>
        <w:spacing w:line="267" w:lineRule="exact"/>
        <w:ind w:left="0" w:firstLine="408"/>
      </w:pPr>
      <w:r>
        <w:rPr>
          <w:spacing w:val="-3"/>
        </w:rPr>
        <w:t>合同价格和费用</w:t>
      </w:r>
    </w:p>
    <w:p>
      <w:pPr>
        <w:pStyle w:val="107"/>
        <w:numPr>
          <w:ilvl w:val="3"/>
          <w:numId w:val="6"/>
        </w:numPr>
        <w:tabs>
          <w:tab w:val="left" w:pos="1397"/>
        </w:tabs>
        <w:spacing w:before="141"/>
        <w:ind w:left="0" w:firstLine="408"/>
      </w:pPr>
      <w:r>
        <w:rPr>
          <w:spacing w:val="-3"/>
        </w:rPr>
        <w:t xml:space="preserve">签约合同价：指签订合同时合同协议书中写明的监理报酬总金额。 </w:t>
      </w:r>
    </w:p>
    <w:p>
      <w:pPr>
        <w:pStyle w:val="107"/>
        <w:numPr>
          <w:ilvl w:val="3"/>
          <w:numId w:val="6"/>
        </w:numPr>
        <w:tabs>
          <w:tab w:val="left" w:pos="1397"/>
        </w:tabs>
        <w:spacing w:before="139" w:line="364" w:lineRule="auto"/>
        <w:ind w:left="238" w:right="36" w:firstLine="181" w:firstLineChars="101"/>
      </w:pPr>
      <w:r>
        <w:rPr>
          <w:spacing w:val="-15"/>
        </w:rPr>
        <w:t xml:space="preserve">合同价格：指监理人按合同约定完成了全部监理工作后，委托人应付给监理人的金额， </w:t>
      </w:r>
      <w:r>
        <w:rPr>
          <w:spacing w:val="-7"/>
        </w:rPr>
        <w:t>包括在履行合同过程中按合同约定进行的变更和调整。</w:t>
      </w:r>
    </w:p>
    <w:p>
      <w:pPr>
        <w:pStyle w:val="107"/>
        <w:numPr>
          <w:ilvl w:val="3"/>
          <w:numId w:val="6"/>
        </w:numPr>
        <w:tabs>
          <w:tab w:val="left" w:pos="1397"/>
        </w:tabs>
        <w:spacing w:line="364" w:lineRule="auto"/>
        <w:ind w:left="238" w:right="1151" w:firstLine="181" w:firstLineChars="88"/>
      </w:pPr>
      <w:r>
        <w:rPr>
          <w:spacing w:val="-2"/>
        </w:rPr>
        <w:t>费用：指为履行合同所发生的或将要发生的所有合理开支，包括管理费和应分摊的其</w:t>
      </w:r>
      <w:r>
        <w:rPr>
          <w:spacing w:val="-3"/>
        </w:rPr>
        <w:t>他费用，但不包括利润。</w:t>
      </w:r>
    </w:p>
    <w:p>
      <w:pPr>
        <w:pStyle w:val="107"/>
        <w:numPr>
          <w:ilvl w:val="2"/>
          <w:numId w:val="6"/>
        </w:numPr>
        <w:tabs>
          <w:tab w:val="left" w:pos="1181"/>
        </w:tabs>
        <w:ind w:left="0" w:firstLine="412"/>
      </w:pPr>
      <w:r>
        <w:rPr>
          <w:spacing w:val="-2"/>
        </w:rPr>
        <w:t>其他</w:t>
      </w:r>
    </w:p>
    <w:p>
      <w:pPr>
        <w:pStyle w:val="107"/>
        <w:numPr>
          <w:ilvl w:val="3"/>
          <w:numId w:val="6"/>
        </w:numPr>
        <w:tabs>
          <w:tab w:val="left" w:pos="1397"/>
        </w:tabs>
        <w:spacing w:before="138" w:line="364" w:lineRule="auto"/>
        <w:ind w:left="238" w:right="36" w:firstLine="180" w:firstLineChars="87"/>
      </w:pPr>
      <w:r>
        <w:rPr>
          <w:spacing w:val="-1"/>
        </w:rPr>
        <w:t>书面形式：指合同文件、信件和数据电文</w:t>
      </w:r>
      <w:r>
        <w:t>（</w:t>
      </w:r>
      <w:r>
        <w:rPr>
          <w:spacing w:val="-1"/>
        </w:rPr>
        <w:t>包括电报、电传、传真、电子数据交换和电子邮件</w:t>
      </w:r>
      <w:r>
        <w:rPr>
          <w:spacing w:val="-3"/>
        </w:rPr>
        <w:t>）等可以有形地表现所载内容的形式。</w:t>
      </w:r>
    </w:p>
    <w:p>
      <w:pPr>
        <w:pStyle w:val="11"/>
        <w:rPr>
          <w:sz w:val="20"/>
        </w:rPr>
      </w:pPr>
    </w:p>
    <w:p>
      <w:pPr>
        <w:pStyle w:val="6"/>
        <w:numPr>
          <w:ilvl w:val="1"/>
          <w:numId w:val="7"/>
        </w:numPr>
        <w:tabs>
          <w:tab w:val="left" w:pos="801"/>
        </w:tabs>
        <w:spacing w:before="1"/>
        <w:ind w:left="846" w:firstLine="220"/>
        <w:rPr>
          <w:sz w:val="20"/>
        </w:rPr>
      </w:pPr>
      <w:bookmarkStart w:id="81" w:name="_bookmark113"/>
      <w:bookmarkEnd w:id="81"/>
      <w:r>
        <w:rPr>
          <w:spacing w:val="-1"/>
        </w:rPr>
        <w:t>语言文字</w:t>
      </w:r>
    </w:p>
    <w:p>
      <w:pPr>
        <w:pStyle w:val="11"/>
        <w:ind w:left="658"/>
        <w:rPr>
          <w:sz w:val="20"/>
        </w:rPr>
      </w:pPr>
      <w:r>
        <w:t xml:space="preserve">合同使用的语言文字为中文。专用术语使用外文的，应附有中文注释。 </w:t>
      </w:r>
    </w:p>
    <w:p>
      <w:pPr>
        <w:pStyle w:val="6"/>
        <w:numPr>
          <w:ilvl w:val="1"/>
          <w:numId w:val="7"/>
        </w:numPr>
        <w:tabs>
          <w:tab w:val="left" w:pos="801"/>
        </w:tabs>
        <w:spacing w:before="144"/>
        <w:ind w:left="846" w:firstLine="0"/>
        <w:rPr>
          <w:sz w:val="20"/>
        </w:rPr>
      </w:pPr>
      <w:bookmarkStart w:id="82" w:name="_bookmark114"/>
      <w:bookmarkEnd w:id="82"/>
      <w:r>
        <w:rPr>
          <w:spacing w:val="-1"/>
        </w:rPr>
        <w:t>适用法律</w:t>
      </w:r>
    </w:p>
    <w:p>
      <w:pPr>
        <w:pStyle w:val="11"/>
        <w:spacing w:line="367" w:lineRule="auto"/>
        <w:ind w:right="36" w:firstLine="404" w:firstLineChars="200"/>
      </w:pPr>
      <w:r>
        <w:rPr>
          <w:spacing w:val="-4"/>
        </w:rPr>
        <w:t>适用于合同的法律包括中华人民共和国法律、行政法规、部门规章，以及工程所在地的地方法</w:t>
      </w:r>
      <w:r>
        <w:rPr>
          <w:spacing w:val="-3"/>
        </w:rPr>
        <w:t>规、自治条例、单行条例和地方政府规章。</w:t>
      </w:r>
    </w:p>
    <w:p>
      <w:pPr>
        <w:pStyle w:val="11"/>
        <w:spacing w:line="264" w:lineRule="exact"/>
        <w:rPr>
          <w:sz w:val="20"/>
        </w:rPr>
      </w:pPr>
      <w:r>
        <w:t xml:space="preserve">本合同适用的其他规范性文件，可在专用合同条款中约定。 </w:t>
      </w:r>
    </w:p>
    <w:p>
      <w:pPr>
        <w:pStyle w:val="6"/>
        <w:numPr>
          <w:ilvl w:val="1"/>
          <w:numId w:val="7"/>
        </w:numPr>
        <w:tabs>
          <w:tab w:val="left" w:pos="801"/>
        </w:tabs>
        <w:spacing w:before="142"/>
        <w:ind w:left="846" w:firstLine="0"/>
        <w:rPr>
          <w:sz w:val="20"/>
        </w:rPr>
      </w:pPr>
      <w:bookmarkStart w:id="83" w:name="_bookmark115"/>
      <w:bookmarkEnd w:id="83"/>
      <w:r>
        <w:t>合同文件的优先顺序</w:t>
      </w:r>
    </w:p>
    <w:p>
      <w:pPr>
        <w:pStyle w:val="11"/>
        <w:spacing w:line="364" w:lineRule="auto"/>
        <w:ind w:left="238" w:right="36" w:hanging="38"/>
      </w:pPr>
      <w:r>
        <w:rPr>
          <w:spacing w:val="-4"/>
        </w:rPr>
        <w:t>组成合同的各项文件应互相解释，互为说明。除专用合同条款另有约定外，解释合同文件的优</w:t>
      </w:r>
      <w:r>
        <w:rPr>
          <w:spacing w:val="-3"/>
        </w:rPr>
        <w:t>先顺序如下：</w:t>
      </w:r>
    </w:p>
    <w:p>
      <w:pPr>
        <w:pStyle w:val="107"/>
        <w:numPr>
          <w:ilvl w:val="2"/>
          <w:numId w:val="7"/>
        </w:numPr>
        <w:tabs>
          <w:tab w:val="left" w:pos="420"/>
        </w:tabs>
        <w:spacing w:before="61"/>
        <w:ind w:left="7" w:firstLine="412" w:firstLineChars="202"/>
      </w:pPr>
      <w:r>
        <w:rPr>
          <w:spacing w:val="-3"/>
        </w:rPr>
        <w:t>合同协议书；</w:t>
      </w:r>
    </w:p>
    <w:p>
      <w:pPr>
        <w:pStyle w:val="107"/>
        <w:numPr>
          <w:ilvl w:val="2"/>
          <w:numId w:val="7"/>
        </w:numPr>
        <w:tabs>
          <w:tab w:val="left" w:pos="420"/>
        </w:tabs>
        <w:spacing w:before="139"/>
        <w:ind w:left="0" w:firstLine="408"/>
      </w:pPr>
      <w:r>
        <w:rPr>
          <w:spacing w:val="-3"/>
        </w:rPr>
        <w:t>中标通知书；</w:t>
      </w:r>
    </w:p>
    <w:p>
      <w:pPr>
        <w:pStyle w:val="107"/>
        <w:numPr>
          <w:ilvl w:val="2"/>
          <w:numId w:val="7"/>
        </w:numPr>
        <w:tabs>
          <w:tab w:val="left" w:pos="420"/>
        </w:tabs>
        <w:spacing w:before="139"/>
        <w:ind w:left="0" w:firstLine="408"/>
      </w:pPr>
      <w:r>
        <w:rPr>
          <w:spacing w:val="-3"/>
        </w:rPr>
        <w:t xml:space="preserve">投标函及投标函附录； </w:t>
      </w:r>
    </w:p>
    <w:p>
      <w:pPr>
        <w:pStyle w:val="107"/>
        <w:numPr>
          <w:ilvl w:val="2"/>
          <w:numId w:val="7"/>
        </w:numPr>
        <w:tabs>
          <w:tab w:val="left" w:pos="420"/>
        </w:tabs>
        <w:spacing w:before="139"/>
        <w:ind w:left="0" w:firstLine="408"/>
      </w:pPr>
      <w:r>
        <w:rPr>
          <w:spacing w:val="-3"/>
        </w:rPr>
        <w:t>专用合同条款；</w:t>
      </w:r>
    </w:p>
    <w:p>
      <w:pPr>
        <w:pStyle w:val="107"/>
        <w:numPr>
          <w:ilvl w:val="2"/>
          <w:numId w:val="7"/>
        </w:numPr>
        <w:tabs>
          <w:tab w:val="left" w:pos="420"/>
        </w:tabs>
        <w:spacing w:before="141"/>
        <w:ind w:left="0" w:firstLine="408"/>
      </w:pPr>
      <w:r>
        <w:rPr>
          <w:spacing w:val="-3"/>
        </w:rPr>
        <w:t>通用合同条款；</w:t>
      </w:r>
    </w:p>
    <w:p>
      <w:pPr>
        <w:pStyle w:val="107"/>
        <w:numPr>
          <w:ilvl w:val="2"/>
          <w:numId w:val="7"/>
        </w:numPr>
        <w:tabs>
          <w:tab w:val="left" w:pos="420"/>
        </w:tabs>
        <w:spacing w:before="139"/>
        <w:ind w:left="0" w:firstLine="408"/>
      </w:pPr>
      <w:r>
        <w:rPr>
          <w:spacing w:val="-3"/>
        </w:rPr>
        <w:t>委托人要求；</w:t>
      </w:r>
    </w:p>
    <w:p>
      <w:pPr>
        <w:pStyle w:val="107"/>
        <w:numPr>
          <w:ilvl w:val="2"/>
          <w:numId w:val="7"/>
        </w:numPr>
        <w:tabs>
          <w:tab w:val="left" w:pos="420"/>
        </w:tabs>
        <w:spacing w:before="139"/>
        <w:ind w:left="0" w:firstLine="408"/>
      </w:pPr>
      <w:r>
        <w:rPr>
          <w:spacing w:val="-3"/>
        </w:rPr>
        <w:t>监理报酬清单；</w:t>
      </w:r>
    </w:p>
    <w:p>
      <w:pPr>
        <w:pStyle w:val="107"/>
        <w:numPr>
          <w:ilvl w:val="2"/>
          <w:numId w:val="7"/>
        </w:numPr>
        <w:tabs>
          <w:tab w:val="left" w:pos="420"/>
        </w:tabs>
        <w:spacing w:before="139"/>
        <w:ind w:left="0" w:firstLine="408"/>
      </w:pPr>
      <w:r>
        <w:rPr>
          <w:spacing w:val="-3"/>
        </w:rPr>
        <w:t>监理大纲；</w:t>
      </w:r>
    </w:p>
    <w:p>
      <w:pPr>
        <w:pStyle w:val="107"/>
        <w:numPr>
          <w:ilvl w:val="2"/>
          <w:numId w:val="7"/>
        </w:numPr>
        <w:tabs>
          <w:tab w:val="left" w:pos="420"/>
        </w:tabs>
        <w:spacing w:before="142"/>
        <w:ind w:left="0" w:firstLine="408"/>
      </w:pPr>
      <w:r>
        <w:rPr>
          <w:spacing w:val="-3"/>
        </w:rPr>
        <w:t xml:space="preserve">其他合同文件。 </w:t>
      </w:r>
    </w:p>
    <w:p>
      <w:pPr>
        <w:pStyle w:val="11"/>
        <w:rPr>
          <w:sz w:val="20"/>
        </w:rPr>
      </w:pPr>
    </w:p>
    <w:p>
      <w:pPr>
        <w:pStyle w:val="6"/>
        <w:numPr>
          <w:ilvl w:val="1"/>
          <w:numId w:val="7"/>
        </w:numPr>
        <w:tabs>
          <w:tab w:val="left" w:pos="801"/>
        </w:tabs>
        <w:spacing w:before="142"/>
        <w:ind w:hanging="426"/>
        <w:rPr>
          <w:sz w:val="20"/>
        </w:rPr>
      </w:pPr>
      <w:bookmarkStart w:id="84" w:name="_bookmark116"/>
      <w:bookmarkEnd w:id="84"/>
      <w:r>
        <w:t>合同协议书</w:t>
      </w:r>
    </w:p>
    <w:p>
      <w:pPr>
        <w:pStyle w:val="11"/>
        <w:spacing w:line="364" w:lineRule="auto"/>
        <w:ind w:left="238" w:right="36" w:firstLine="420"/>
        <w:rPr>
          <w:sz w:val="20"/>
        </w:rPr>
      </w:pPr>
      <w:r>
        <w:rPr>
          <w:spacing w:val="-6"/>
        </w:rPr>
        <w:t xml:space="preserve">监理人按中标通知书规定的时间与委托人签订合同协议书。除法律另有规定或合同另有约定外， </w:t>
      </w:r>
      <w:r>
        <w:rPr>
          <w:spacing w:val="-4"/>
        </w:rPr>
        <w:t>委托人和监理人的法定代表人或其委托代理人在合同协议书上签字并盖单位章后，合同生效。</w:t>
      </w:r>
    </w:p>
    <w:p>
      <w:pPr>
        <w:pStyle w:val="6"/>
        <w:numPr>
          <w:ilvl w:val="1"/>
          <w:numId w:val="7"/>
        </w:numPr>
        <w:tabs>
          <w:tab w:val="left" w:pos="801"/>
        </w:tabs>
        <w:spacing w:before="1"/>
        <w:ind w:hanging="426"/>
        <w:rPr>
          <w:sz w:val="20"/>
        </w:rPr>
      </w:pPr>
      <w:bookmarkStart w:id="85" w:name="_bookmark117"/>
      <w:bookmarkEnd w:id="85"/>
      <w:r>
        <w:rPr>
          <w:w w:val="95"/>
        </w:rPr>
        <w:t>文件的提供和照管</w:t>
      </w:r>
    </w:p>
    <w:p>
      <w:pPr>
        <w:pStyle w:val="107"/>
        <w:numPr>
          <w:ilvl w:val="2"/>
          <w:numId w:val="8"/>
        </w:numPr>
        <w:tabs>
          <w:tab w:val="left" w:pos="1188"/>
        </w:tabs>
        <w:ind w:left="0" w:firstLine="408"/>
      </w:pPr>
      <w:r>
        <w:rPr>
          <w:spacing w:val="-3"/>
        </w:rPr>
        <w:t>监理文件的提供</w:t>
      </w:r>
    </w:p>
    <w:p>
      <w:pPr>
        <w:pStyle w:val="11"/>
        <w:spacing w:before="139" w:line="367" w:lineRule="auto"/>
        <w:ind w:left="238" w:right="36" w:firstLine="420"/>
      </w:pPr>
      <w:r>
        <w:t xml:space="preserve">除专用合同条款另有约定外，监理人应在合理的期限内按照合同约定的数量向委托人提供监理文件。合同约定监理文件应经委托人批复的，委托人应当在合同约定的期限内批复或提出修改意见。 </w:t>
      </w:r>
    </w:p>
    <w:p>
      <w:pPr>
        <w:pStyle w:val="107"/>
        <w:numPr>
          <w:ilvl w:val="2"/>
          <w:numId w:val="8"/>
        </w:numPr>
        <w:tabs>
          <w:tab w:val="left" w:pos="1188"/>
        </w:tabs>
        <w:spacing w:line="265" w:lineRule="exact"/>
        <w:ind w:left="0" w:firstLine="408"/>
      </w:pPr>
      <w:r>
        <w:rPr>
          <w:spacing w:val="-3"/>
        </w:rPr>
        <w:t>委托人提供的文件</w:t>
      </w:r>
    </w:p>
    <w:p>
      <w:pPr>
        <w:pStyle w:val="11"/>
        <w:spacing w:before="139" w:line="364" w:lineRule="auto"/>
        <w:ind w:left="238" w:right="36" w:firstLine="420"/>
      </w:pPr>
      <w:r>
        <w:rPr>
          <w:spacing w:val="-11"/>
        </w:rPr>
        <w:t xml:space="preserve">按专用合同条款约定由委托人提供的文件，包括规范标准、承包合同、勘察文件、设计文件等， </w:t>
      </w:r>
      <w:r>
        <w:rPr>
          <w:spacing w:val="-12"/>
        </w:rPr>
        <w:t xml:space="preserve">委托人应按约定的数量和期限交给监理人。由于委托人未按时提供文件造成监理服务期限延误的， </w:t>
      </w:r>
      <w:r>
        <w:rPr>
          <w:spacing w:val="-18"/>
        </w:rPr>
        <w:t xml:space="preserve">按第 </w:t>
      </w:r>
      <w:r>
        <w:t>6.2</w:t>
      </w:r>
      <w:r>
        <w:rPr>
          <w:spacing w:val="-10"/>
        </w:rPr>
        <w:t xml:space="preserve"> 款约定执行。</w:t>
      </w:r>
    </w:p>
    <w:p>
      <w:pPr>
        <w:pStyle w:val="107"/>
        <w:numPr>
          <w:ilvl w:val="2"/>
          <w:numId w:val="8"/>
        </w:numPr>
        <w:tabs>
          <w:tab w:val="left" w:pos="1188"/>
        </w:tabs>
        <w:spacing w:line="269" w:lineRule="exact"/>
        <w:ind w:left="0" w:firstLine="408"/>
      </w:pPr>
      <w:r>
        <w:rPr>
          <w:spacing w:val="-3"/>
        </w:rPr>
        <w:t>文件错误的通知</w:t>
      </w:r>
    </w:p>
    <w:p>
      <w:pPr>
        <w:pStyle w:val="11"/>
        <w:spacing w:before="139" w:line="364" w:lineRule="auto"/>
        <w:ind w:left="238" w:right="36" w:firstLine="420"/>
      </w:pPr>
      <w:r>
        <w:rPr>
          <w:spacing w:val="-4"/>
        </w:rPr>
        <w:t>任何一方当事人发现文件中存在的明显错误或疏忽，均应及时通知对方当事人，并应立即采取</w:t>
      </w:r>
      <w:r>
        <w:rPr>
          <w:spacing w:val="-3"/>
        </w:rPr>
        <w:t xml:space="preserve">适当的措施防止损失扩大。 </w:t>
      </w:r>
    </w:p>
    <w:p>
      <w:pPr>
        <w:pStyle w:val="107"/>
        <w:numPr>
          <w:ilvl w:val="2"/>
          <w:numId w:val="8"/>
        </w:numPr>
        <w:tabs>
          <w:tab w:val="left" w:pos="1188"/>
        </w:tabs>
        <w:spacing w:line="267" w:lineRule="exact"/>
        <w:ind w:left="0" w:firstLine="408"/>
      </w:pPr>
      <w:r>
        <w:rPr>
          <w:spacing w:val="-3"/>
        </w:rPr>
        <w:t>文件的照管</w:t>
      </w:r>
    </w:p>
    <w:p>
      <w:pPr>
        <w:pStyle w:val="11"/>
        <w:spacing w:before="139" w:line="367" w:lineRule="auto"/>
        <w:ind w:left="238" w:right="36" w:firstLine="420"/>
        <w:rPr>
          <w:sz w:val="19"/>
        </w:rPr>
      </w:pPr>
      <w:r>
        <w:rPr>
          <w:spacing w:val="-4"/>
        </w:rPr>
        <w:t>监理人应在现场保留一份合同文件、监理文件、委托人要求中的所列文件、以及其他根据合同</w:t>
      </w:r>
      <w:r>
        <w:rPr>
          <w:spacing w:val="-3"/>
        </w:rPr>
        <w:t>收发的往来信函，以备委托人和行政管理部门查阅使用。</w:t>
      </w:r>
    </w:p>
    <w:p>
      <w:pPr>
        <w:pStyle w:val="6"/>
        <w:numPr>
          <w:ilvl w:val="1"/>
          <w:numId w:val="7"/>
        </w:numPr>
        <w:tabs>
          <w:tab w:val="left" w:pos="801"/>
        </w:tabs>
        <w:ind w:left="846" w:hanging="426"/>
        <w:rPr>
          <w:sz w:val="20"/>
        </w:rPr>
      </w:pPr>
      <w:bookmarkStart w:id="86" w:name="_bookmark118"/>
      <w:bookmarkEnd w:id="86"/>
      <w:r>
        <w:rPr>
          <w:spacing w:val="-2"/>
        </w:rPr>
        <w:t>联络</w:t>
      </w:r>
    </w:p>
    <w:p>
      <w:pPr>
        <w:pStyle w:val="107"/>
        <w:numPr>
          <w:ilvl w:val="2"/>
          <w:numId w:val="9"/>
        </w:numPr>
        <w:tabs>
          <w:tab w:val="left" w:pos="220"/>
        </w:tabs>
        <w:spacing w:line="364" w:lineRule="auto"/>
        <w:ind w:left="16" w:right="36" w:hanging="16" w:hangingChars="8"/>
      </w:pPr>
      <w:r>
        <w:rPr>
          <w:spacing w:val="-4"/>
        </w:rPr>
        <w:t>与合同有关的通知、批准、证明、证书、指示、要求、请求、同意、意见、确定和决定</w:t>
      </w:r>
      <w:r>
        <w:rPr>
          <w:spacing w:val="-3"/>
        </w:rPr>
        <w:t>等，均应采用书面形式。</w:t>
      </w:r>
    </w:p>
    <w:p>
      <w:pPr>
        <w:pStyle w:val="107"/>
        <w:numPr>
          <w:ilvl w:val="2"/>
          <w:numId w:val="9"/>
        </w:numPr>
        <w:tabs>
          <w:tab w:val="left" w:pos="220"/>
        </w:tabs>
        <w:spacing w:line="267" w:lineRule="exact"/>
        <w:ind w:left="0" w:hanging="6" w:firstLineChars="0"/>
      </w:pPr>
      <w:r>
        <w:rPr>
          <w:spacing w:val="-3"/>
        </w:rPr>
        <w:t>上述通知、批准、证明、证书、指示、要求、请求、同意、意见、确定和决定等来往函</w:t>
      </w:r>
      <w:r>
        <w:t xml:space="preserve">件，均应在合同约定的期限内送达指定的地点和指定的接收人，并办理签收手续。 </w:t>
      </w:r>
    </w:p>
    <w:p>
      <w:pPr>
        <w:pStyle w:val="11"/>
        <w:rPr>
          <w:sz w:val="20"/>
        </w:rPr>
      </w:pPr>
    </w:p>
    <w:p>
      <w:pPr>
        <w:pStyle w:val="6"/>
        <w:numPr>
          <w:ilvl w:val="1"/>
          <w:numId w:val="7"/>
        </w:numPr>
        <w:tabs>
          <w:tab w:val="left" w:pos="801"/>
        </w:tabs>
        <w:spacing w:before="142"/>
        <w:ind w:hanging="1226"/>
        <w:rPr>
          <w:sz w:val="20"/>
        </w:rPr>
      </w:pPr>
      <w:bookmarkStart w:id="87" w:name="_bookmark119"/>
      <w:bookmarkEnd w:id="87"/>
      <w:r>
        <w:rPr>
          <w:spacing w:val="-2"/>
        </w:rPr>
        <w:t>转让</w:t>
      </w:r>
    </w:p>
    <w:p>
      <w:pPr>
        <w:pStyle w:val="11"/>
        <w:spacing w:line="364" w:lineRule="auto"/>
        <w:ind w:left="238" w:right="36" w:firstLine="420"/>
        <w:rPr>
          <w:sz w:val="20"/>
        </w:rPr>
      </w:pPr>
      <w:r>
        <w:rPr>
          <w:spacing w:val="-4"/>
        </w:rPr>
        <w:t>除专用合同条款另有约定外，未经对方当事人同意，一方当事人不得将合同权利全部或部分转</w:t>
      </w:r>
      <w:r>
        <w:rPr>
          <w:spacing w:val="-3"/>
        </w:rPr>
        <w:t>让给第三人，也不得全部或部分转移合同义务。</w:t>
      </w:r>
    </w:p>
    <w:p>
      <w:pPr>
        <w:pStyle w:val="6"/>
        <w:numPr>
          <w:ilvl w:val="1"/>
          <w:numId w:val="7"/>
        </w:numPr>
        <w:tabs>
          <w:tab w:val="left" w:pos="801"/>
        </w:tabs>
        <w:ind w:hanging="1226"/>
        <w:rPr>
          <w:sz w:val="20"/>
        </w:rPr>
      </w:pPr>
      <w:bookmarkStart w:id="88" w:name="_bookmark120"/>
      <w:bookmarkEnd w:id="88"/>
      <w:r>
        <w:rPr>
          <w:spacing w:val="-1"/>
        </w:rPr>
        <w:t>严禁贿赂</w:t>
      </w:r>
    </w:p>
    <w:p>
      <w:pPr>
        <w:pStyle w:val="11"/>
        <w:spacing w:line="367" w:lineRule="auto"/>
        <w:ind w:left="238" w:right="36" w:firstLine="420"/>
        <w:rPr>
          <w:sz w:val="19"/>
        </w:rPr>
      </w:pPr>
      <w:r>
        <w:rPr>
          <w:spacing w:val="-4"/>
        </w:rPr>
        <w:t>合同双方当事人不得以贿赂或变相贿赂的方式，谋取不当利益或损害对方权益。因贿赂造成对</w:t>
      </w:r>
      <w:r>
        <w:rPr>
          <w:spacing w:val="-3"/>
        </w:rPr>
        <w:t>方当事人损失的，行为人应当赔偿损失，并承担相应的法律责任。</w:t>
      </w:r>
    </w:p>
    <w:p>
      <w:pPr>
        <w:pStyle w:val="6"/>
        <w:numPr>
          <w:ilvl w:val="1"/>
          <w:numId w:val="7"/>
        </w:numPr>
        <w:tabs>
          <w:tab w:val="left" w:pos="943"/>
        </w:tabs>
        <w:ind w:left="1788" w:hanging="1368"/>
        <w:rPr>
          <w:sz w:val="20"/>
        </w:rPr>
      </w:pPr>
      <w:bookmarkStart w:id="89" w:name="_bookmark121"/>
      <w:bookmarkEnd w:id="89"/>
      <w:r>
        <w:rPr>
          <w:spacing w:val="-1"/>
        </w:rPr>
        <w:t>知识产权</w:t>
      </w:r>
    </w:p>
    <w:p>
      <w:pPr>
        <w:pStyle w:val="107"/>
        <w:numPr>
          <w:ilvl w:val="2"/>
          <w:numId w:val="10"/>
        </w:numPr>
        <w:tabs>
          <w:tab w:val="left" w:pos="1343"/>
        </w:tabs>
        <w:spacing w:before="1" w:line="364" w:lineRule="auto"/>
        <w:ind w:right="36" w:firstLine="400"/>
      </w:pPr>
      <w:r>
        <w:rPr>
          <w:spacing w:val="-5"/>
        </w:rPr>
        <w:t>除专用合同条款另有约定外，监理人完成的监理工作成果，除署名权以外的著作权和其</w:t>
      </w:r>
      <w:r>
        <w:rPr>
          <w:spacing w:val="-4"/>
        </w:rPr>
        <w:t>他知识产权均归委托人享有。</w:t>
      </w:r>
    </w:p>
    <w:p>
      <w:pPr>
        <w:pStyle w:val="107"/>
        <w:numPr>
          <w:ilvl w:val="2"/>
          <w:numId w:val="10"/>
        </w:numPr>
        <w:tabs>
          <w:tab w:val="left" w:pos="1294"/>
        </w:tabs>
        <w:spacing w:line="364" w:lineRule="auto"/>
        <w:ind w:right="36" w:firstLine="396"/>
      </w:pPr>
      <w:r>
        <w:rPr>
          <w:spacing w:val="-6"/>
        </w:rPr>
        <w:t>监理人从事监理活动时不得侵犯他人的知识产权。因侵犯专利权或其他知识产权所引起</w:t>
      </w:r>
      <w:r>
        <w:rPr>
          <w:spacing w:val="-4"/>
        </w:rPr>
        <w:t>的责任，由监理人自行承担。因委托人提供的监理资料导致侵权的，由委托人承担责任。</w:t>
      </w:r>
    </w:p>
    <w:p>
      <w:pPr>
        <w:pStyle w:val="107"/>
        <w:numPr>
          <w:ilvl w:val="2"/>
          <w:numId w:val="10"/>
        </w:numPr>
        <w:tabs>
          <w:tab w:val="left" w:pos="1294"/>
        </w:tabs>
        <w:spacing w:line="364" w:lineRule="auto"/>
        <w:ind w:right="1152" w:firstLine="388"/>
        <w:rPr>
          <w:sz w:val="19"/>
        </w:rPr>
      </w:pPr>
      <w:r>
        <w:rPr>
          <w:spacing w:val="-8"/>
        </w:rPr>
        <w:t>监理人在投标文件中采用专利技术、专有技术的，相应的使用费视为已包含在投标报价</w:t>
      </w:r>
      <w:r>
        <w:rPr>
          <w:spacing w:val="-7"/>
        </w:rPr>
        <w:t>之中。</w:t>
      </w:r>
    </w:p>
    <w:p>
      <w:pPr>
        <w:pStyle w:val="6"/>
        <w:numPr>
          <w:ilvl w:val="1"/>
          <w:numId w:val="7"/>
        </w:numPr>
        <w:tabs>
          <w:tab w:val="left" w:pos="943"/>
        </w:tabs>
        <w:ind w:left="1788" w:hanging="1368"/>
        <w:rPr>
          <w:sz w:val="20"/>
        </w:rPr>
      </w:pPr>
      <w:bookmarkStart w:id="90" w:name="_bookmark122"/>
      <w:bookmarkEnd w:id="90"/>
      <w:r>
        <w:t>文件及信息的保密</w:t>
      </w:r>
    </w:p>
    <w:p>
      <w:pPr>
        <w:pStyle w:val="11"/>
        <w:spacing w:line="364" w:lineRule="auto"/>
        <w:ind w:left="238" w:right="36" w:firstLine="420"/>
        <w:rPr>
          <w:sz w:val="20"/>
        </w:rPr>
      </w:pPr>
      <w:r>
        <w:rPr>
          <w:spacing w:val="-4"/>
        </w:rPr>
        <w:t>未经对方同意，任何一方当事人不得将有关文件、技术秘密、需要保密的资料和信息泄露给他</w:t>
      </w:r>
      <w:r>
        <w:rPr>
          <w:spacing w:val="-3"/>
        </w:rPr>
        <w:t>人或公开发表与引用。</w:t>
      </w:r>
    </w:p>
    <w:p>
      <w:pPr>
        <w:pStyle w:val="6"/>
        <w:numPr>
          <w:ilvl w:val="1"/>
          <w:numId w:val="7"/>
        </w:numPr>
        <w:tabs>
          <w:tab w:val="left" w:pos="943"/>
        </w:tabs>
        <w:ind w:left="1788" w:hanging="1368"/>
        <w:rPr>
          <w:sz w:val="20"/>
        </w:rPr>
      </w:pPr>
      <w:bookmarkStart w:id="91" w:name="_bookmark123"/>
      <w:bookmarkEnd w:id="91"/>
      <w:r>
        <w:t>委托人要求</w:t>
      </w:r>
    </w:p>
    <w:p>
      <w:pPr>
        <w:pStyle w:val="107"/>
        <w:numPr>
          <w:ilvl w:val="2"/>
          <w:numId w:val="11"/>
        </w:numPr>
        <w:tabs>
          <w:tab w:val="left" w:pos="1294"/>
        </w:tabs>
        <w:spacing w:line="364" w:lineRule="auto"/>
        <w:ind w:right="36" w:firstLine="388"/>
      </w:pPr>
      <w:r>
        <w:rPr>
          <w:spacing w:val="-8"/>
        </w:rPr>
        <w:t>监理人应认真阅读、复核委托人要求，发现错误的，应及时书面通知委托人。无论是否</w:t>
      </w:r>
      <w:r>
        <w:rPr>
          <w:spacing w:val="-6"/>
        </w:rPr>
        <w:t xml:space="preserve">存在错误，委托人均有权修改委托人要求，并在修改后 </w:t>
      </w:r>
      <w:r>
        <w:t>3</w:t>
      </w:r>
      <w:r>
        <w:rPr>
          <w:spacing w:val="-4"/>
        </w:rPr>
        <w:t xml:space="preserve"> 日内通知监理人。除专用合同条款另有约定外，由此导致监理人费用增加和</w:t>
      </w:r>
      <w:r>
        <w:t>（或）</w:t>
      </w:r>
      <w:r>
        <w:rPr>
          <w:spacing w:val="-2"/>
        </w:rPr>
        <w:t>周期延误的，委托人应当相应地增加费用和</w:t>
      </w:r>
      <w:r>
        <w:t>（或）</w:t>
      </w:r>
      <w:r>
        <w:rPr>
          <w:spacing w:val="-5"/>
        </w:rPr>
        <w:t>延长周</w:t>
      </w:r>
      <w:r>
        <w:rPr>
          <w:spacing w:val="-2"/>
        </w:rPr>
        <w:t>期。</w:t>
      </w:r>
    </w:p>
    <w:p>
      <w:pPr>
        <w:pStyle w:val="107"/>
        <w:numPr>
          <w:ilvl w:val="2"/>
          <w:numId w:val="11"/>
        </w:numPr>
        <w:tabs>
          <w:tab w:val="left" w:pos="1294"/>
        </w:tabs>
        <w:spacing w:line="364" w:lineRule="auto"/>
        <w:ind w:right="36" w:firstLine="404"/>
      </w:pPr>
      <w:r>
        <w:rPr>
          <w:spacing w:val="-4"/>
        </w:rPr>
        <w:t>如果委托人要求违反法律规定，监理人应在发现后及时书面通知委托人，要求其改正。</w:t>
      </w:r>
      <w:r>
        <w:rPr>
          <w:spacing w:val="-3"/>
        </w:rPr>
        <w:t>委托人收到通知书后不予改正或不予答复的，监理人有权拒绝履行合同义务，直至解除合同；由此引起的监理人的全部损失由委托人承担。</w:t>
      </w:r>
    </w:p>
    <w:p>
      <w:pPr>
        <w:pStyle w:val="107"/>
        <w:numPr>
          <w:ilvl w:val="2"/>
          <w:numId w:val="11"/>
        </w:numPr>
        <w:tabs>
          <w:tab w:val="left" w:pos="1308"/>
        </w:tabs>
        <w:spacing w:line="364" w:lineRule="auto"/>
        <w:ind w:right="36" w:firstLine="392"/>
      </w:pPr>
      <w:r>
        <w:rPr>
          <w:spacing w:val="-7"/>
        </w:rPr>
        <w:t>委托人要求采用国外规范和标准进行监理时，应由委托人负责提供该规范和标准的外国</w:t>
      </w:r>
      <w:r>
        <w:rPr>
          <w:spacing w:val="-5"/>
        </w:rPr>
        <w:t>文本和中文译本，提供的时间、份数和其他要求在专用合同条款中约定。</w:t>
      </w:r>
    </w:p>
    <w:p>
      <w:pPr>
        <w:pStyle w:val="4"/>
        <w:numPr>
          <w:ilvl w:val="0"/>
          <w:numId w:val="4"/>
        </w:numPr>
        <w:tabs>
          <w:tab w:val="left" w:pos="561"/>
        </w:tabs>
        <w:ind w:left="560" w:hanging="323"/>
        <w:jc w:val="left"/>
      </w:pPr>
      <w:bookmarkStart w:id="92" w:name="_bookmark124"/>
      <w:bookmarkEnd w:id="92"/>
      <w:r>
        <w:t>委托人义务</w:t>
      </w:r>
    </w:p>
    <w:p>
      <w:pPr>
        <w:pStyle w:val="6"/>
        <w:numPr>
          <w:ilvl w:val="1"/>
          <w:numId w:val="4"/>
        </w:numPr>
        <w:tabs>
          <w:tab w:val="left" w:pos="801"/>
        </w:tabs>
        <w:spacing w:before="266"/>
        <w:ind w:hanging="426"/>
        <w:rPr>
          <w:sz w:val="20"/>
        </w:rPr>
      </w:pPr>
      <w:bookmarkStart w:id="93" w:name="_bookmark125"/>
      <w:bookmarkEnd w:id="93"/>
      <w:r>
        <w:rPr>
          <w:spacing w:val="-1"/>
        </w:rPr>
        <w:t>遵守法律</w:t>
      </w:r>
    </w:p>
    <w:p>
      <w:pPr>
        <w:pStyle w:val="11"/>
        <w:spacing w:line="364" w:lineRule="auto"/>
        <w:ind w:left="238" w:right="36" w:firstLine="420"/>
        <w:rPr>
          <w:sz w:val="20"/>
        </w:rPr>
      </w:pPr>
      <w:r>
        <w:rPr>
          <w:spacing w:val="-4"/>
        </w:rPr>
        <w:t>委托人在履行合同过程中应遵守法律，并保证监理人免于承担因委托人违反法律而引起的任何</w:t>
      </w:r>
      <w:r>
        <w:rPr>
          <w:spacing w:val="-1"/>
        </w:rPr>
        <w:t>责任。</w:t>
      </w:r>
    </w:p>
    <w:p>
      <w:pPr>
        <w:pStyle w:val="6"/>
        <w:numPr>
          <w:ilvl w:val="1"/>
          <w:numId w:val="4"/>
        </w:numPr>
        <w:tabs>
          <w:tab w:val="left" w:pos="801"/>
        </w:tabs>
        <w:ind w:hanging="426"/>
        <w:rPr>
          <w:sz w:val="20"/>
        </w:rPr>
      </w:pPr>
      <w:bookmarkStart w:id="94" w:name="_bookmark126"/>
      <w:bookmarkEnd w:id="94"/>
      <w:r>
        <w:t>发出开始监理通知</w:t>
      </w:r>
    </w:p>
    <w:p>
      <w:pPr>
        <w:pStyle w:val="11"/>
        <w:ind w:left="658"/>
        <w:rPr>
          <w:sz w:val="20"/>
        </w:rPr>
      </w:pPr>
      <w:r>
        <w:t xml:space="preserve">委托人应按第 6.1 款的约定向监理人发出开始监理通知。 </w:t>
      </w:r>
    </w:p>
    <w:p>
      <w:pPr>
        <w:pStyle w:val="6"/>
        <w:numPr>
          <w:ilvl w:val="1"/>
          <w:numId w:val="4"/>
        </w:numPr>
        <w:tabs>
          <w:tab w:val="left" w:pos="801"/>
        </w:tabs>
        <w:spacing w:before="142"/>
        <w:ind w:hanging="426"/>
      </w:pPr>
      <w:bookmarkStart w:id="95" w:name="_bookmark127"/>
      <w:bookmarkEnd w:id="95"/>
      <w:r>
        <w:t>提供设备、设施</w:t>
      </w:r>
    </w:p>
    <w:p>
      <w:pPr>
        <w:pStyle w:val="11"/>
        <w:spacing w:line="367" w:lineRule="auto"/>
        <w:ind w:left="238" w:right="36" w:firstLine="420"/>
      </w:pPr>
      <w:r>
        <w:rPr>
          <w:spacing w:val="-4"/>
        </w:rPr>
        <w:t>除专用合同条款另有约定外，委托人应为监理人的现场人员，在监理期间提供办公房间、办公</w:t>
      </w:r>
      <w:r>
        <w:rPr>
          <w:spacing w:val="-3"/>
        </w:rPr>
        <w:t>桌椅、互联网接口、冷暖设施、生活设施、进出现场交通服务和其他便利条件。</w:t>
      </w:r>
    </w:p>
    <w:p>
      <w:pPr>
        <w:pStyle w:val="6"/>
        <w:numPr>
          <w:ilvl w:val="1"/>
          <w:numId w:val="4"/>
        </w:numPr>
        <w:tabs>
          <w:tab w:val="left" w:pos="801"/>
        </w:tabs>
        <w:spacing w:before="1"/>
        <w:ind w:hanging="426"/>
      </w:pPr>
      <w:bookmarkStart w:id="96" w:name="_bookmark128"/>
      <w:bookmarkEnd w:id="96"/>
      <w:r>
        <w:t>办理证件和批件</w:t>
      </w:r>
    </w:p>
    <w:p>
      <w:pPr>
        <w:pStyle w:val="11"/>
        <w:spacing w:line="364" w:lineRule="auto"/>
        <w:ind w:left="238" w:right="36" w:firstLine="420"/>
      </w:pPr>
      <w:r>
        <w:t xml:space="preserve">法律规定和（或）合同约定由委托人负责办理的工程建设项目必须履行的各类审批、核准或备案手续，委托人应当按时办理，监理人应给予必要的协助。 </w:t>
      </w:r>
    </w:p>
    <w:p>
      <w:pPr>
        <w:pStyle w:val="11"/>
        <w:spacing w:line="364" w:lineRule="auto"/>
        <w:ind w:left="238" w:right="1153" w:firstLine="420"/>
        <w:rPr>
          <w:sz w:val="20"/>
        </w:rPr>
      </w:pPr>
      <w:r>
        <w:t xml:space="preserve">法律规定和（或）合同约定由监理人负责办理的监理所需的证件和批件，委托人应给予必要的协助。 </w:t>
      </w:r>
    </w:p>
    <w:p>
      <w:pPr>
        <w:pStyle w:val="6"/>
        <w:numPr>
          <w:ilvl w:val="1"/>
          <w:numId w:val="4"/>
        </w:numPr>
        <w:tabs>
          <w:tab w:val="left" w:pos="801"/>
        </w:tabs>
        <w:ind w:hanging="426"/>
      </w:pPr>
      <w:bookmarkStart w:id="97" w:name="_bookmark129"/>
      <w:bookmarkEnd w:id="97"/>
      <w:r>
        <w:t>支付合同价款</w:t>
      </w:r>
    </w:p>
    <w:p>
      <w:pPr>
        <w:pStyle w:val="11"/>
        <w:ind w:left="658"/>
        <w:rPr>
          <w:sz w:val="20"/>
        </w:rPr>
      </w:pPr>
      <w:r>
        <w:t xml:space="preserve">委托人应按合同约定向监理人及时支付合同价款。 </w:t>
      </w:r>
    </w:p>
    <w:p>
      <w:pPr>
        <w:pStyle w:val="6"/>
        <w:numPr>
          <w:ilvl w:val="1"/>
          <w:numId w:val="4"/>
        </w:numPr>
        <w:tabs>
          <w:tab w:val="left" w:pos="801"/>
        </w:tabs>
        <w:spacing w:before="141"/>
        <w:ind w:hanging="426"/>
        <w:rPr>
          <w:sz w:val="20"/>
        </w:rPr>
      </w:pPr>
      <w:bookmarkStart w:id="98" w:name="_bookmark130"/>
      <w:bookmarkEnd w:id="98"/>
      <w:r>
        <w:t>提供监理资料</w:t>
      </w:r>
    </w:p>
    <w:p>
      <w:pPr>
        <w:pStyle w:val="11"/>
        <w:ind w:left="658"/>
        <w:rPr>
          <w:sz w:val="20"/>
        </w:rPr>
      </w:pPr>
      <w:r>
        <w:t xml:space="preserve">委托人应按第 1.6.2 项的约定向监理人提供监理资料。 </w:t>
      </w:r>
    </w:p>
    <w:p>
      <w:pPr>
        <w:pStyle w:val="6"/>
        <w:numPr>
          <w:ilvl w:val="1"/>
          <w:numId w:val="4"/>
        </w:numPr>
        <w:tabs>
          <w:tab w:val="left" w:pos="801"/>
        </w:tabs>
        <w:spacing w:before="142"/>
        <w:ind w:hanging="426"/>
        <w:rPr>
          <w:sz w:val="20"/>
        </w:rPr>
      </w:pPr>
      <w:bookmarkStart w:id="99" w:name="_bookmark131"/>
      <w:bookmarkEnd w:id="99"/>
      <w:r>
        <w:rPr>
          <w:spacing w:val="-1"/>
        </w:rPr>
        <w:t>其他义务</w:t>
      </w:r>
    </w:p>
    <w:p>
      <w:pPr>
        <w:pStyle w:val="11"/>
        <w:ind w:left="658"/>
        <w:rPr>
          <w:sz w:val="20"/>
        </w:rPr>
      </w:pPr>
      <w:r>
        <w:t xml:space="preserve">委托人应履行合同约定的其他义务。 </w:t>
      </w:r>
    </w:p>
    <w:p>
      <w:pPr>
        <w:pStyle w:val="4"/>
        <w:numPr>
          <w:ilvl w:val="0"/>
          <w:numId w:val="4"/>
        </w:numPr>
        <w:tabs>
          <w:tab w:val="left" w:pos="561"/>
        </w:tabs>
        <w:spacing w:before="143"/>
        <w:ind w:left="560" w:hanging="323"/>
        <w:jc w:val="left"/>
      </w:pPr>
      <w:bookmarkStart w:id="100" w:name="_bookmark132"/>
      <w:bookmarkEnd w:id="100"/>
      <w:r>
        <w:t>委托人管理</w:t>
      </w:r>
    </w:p>
    <w:p>
      <w:pPr>
        <w:pStyle w:val="6"/>
        <w:numPr>
          <w:ilvl w:val="1"/>
          <w:numId w:val="4"/>
        </w:numPr>
        <w:tabs>
          <w:tab w:val="left" w:pos="801"/>
        </w:tabs>
        <w:spacing w:before="266"/>
        <w:ind w:hanging="426"/>
        <w:rPr>
          <w:sz w:val="20"/>
        </w:rPr>
      </w:pPr>
      <w:bookmarkStart w:id="101" w:name="_bookmark133"/>
      <w:bookmarkEnd w:id="101"/>
      <w:r>
        <w:t>委托人代表</w:t>
      </w:r>
    </w:p>
    <w:p>
      <w:pPr>
        <w:pStyle w:val="107"/>
        <w:numPr>
          <w:ilvl w:val="2"/>
          <w:numId w:val="4"/>
        </w:numPr>
        <w:tabs>
          <w:tab w:val="left" w:pos="1238"/>
        </w:tabs>
        <w:spacing w:before="1" w:line="364" w:lineRule="auto"/>
        <w:ind w:right="36" w:firstLine="396"/>
      </w:pPr>
      <w:r>
        <w:rPr>
          <w:spacing w:val="-6"/>
        </w:rPr>
        <w:t xml:space="preserve">除专用合同条款另有约定外，委托人应在合同签订后 </w:t>
      </w:r>
      <w:r>
        <w:t>14</w:t>
      </w:r>
      <w:r>
        <w:rPr>
          <w:spacing w:val="-8"/>
        </w:rPr>
        <w:t xml:space="preserve"> 天内，将委托人代表的姓名、职</w:t>
      </w:r>
      <w:r>
        <w:rPr>
          <w:spacing w:val="-9"/>
        </w:rPr>
        <w:t>务、联系方式、授权范围和授权期限书面通知监理人，由委托人代表在其授权范围和授权期限内，</w:t>
      </w:r>
      <w:r>
        <w:rPr>
          <w:spacing w:val="-4"/>
        </w:rPr>
        <w:t>代表委托人行使权利、履行义务和处理合同履行中的具体事宜。委托人代表在授权范围内的行为由</w:t>
      </w:r>
      <w:r>
        <w:rPr>
          <w:spacing w:val="-3"/>
        </w:rPr>
        <w:t>委托人承担法律责任。</w:t>
      </w:r>
    </w:p>
    <w:p>
      <w:pPr>
        <w:pStyle w:val="107"/>
        <w:numPr>
          <w:ilvl w:val="2"/>
          <w:numId w:val="4"/>
        </w:numPr>
        <w:tabs>
          <w:tab w:val="left" w:pos="1293"/>
        </w:tabs>
        <w:spacing w:line="364" w:lineRule="auto"/>
        <w:ind w:right="36" w:firstLine="404"/>
      </w:pPr>
      <w:r>
        <w:rPr>
          <w:spacing w:val="-4"/>
        </w:rPr>
        <w:t xml:space="preserve">委托人代表违反法律法规、违背职业道德守则或者不按合同约定履行职责及义务，导致合同无法继续正常履行的，监理人有权通知委托人更换委托人代表。委托人收到通知后 </w:t>
      </w:r>
      <w:r>
        <w:t>7</w:t>
      </w:r>
      <w:r>
        <w:rPr>
          <w:spacing w:val="-5"/>
        </w:rPr>
        <w:t xml:space="preserve"> 天内，应</w:t>
      </w:r>
      <w:r>
        <w:rPr>
          <w:spacing w:val="-4"/>
        </w:rPr>
        <w:t>当核实完毕并将处理结果通知监理人。</w:t>
      </w:r>
    </w:p>
    <w:p>
      <w:pPr>
        <w:pStyle w:val="107"/>
        <w:numPr>
          <w:ilvl w:val="2"/>
          <w:numId w:val="4"/>
        </w:numPr>
        <w:tabs>
          <w:tab w:val="left" w:pos="220"/>
        </w:tabs>
        <w:spacing w:line="269" w:lineRule="exact"/>
        <w:ind w:left="227" w:leftChars="0" w:hanging="7" w:firstLineChars="0"/>
      </w:pPr>
      <w:r>
        <w:rPr>
          <w:spacing w:val="-9"/>
        </w:rPr>
        <w:t xml:space="preserve">委托人更换委托人代表的，应提前 </w:t>
      </w:r>
      <w:r>
        <w:t>14</w:t>
      </w:r>
      <w:r>
        <w:rPr>
          <w:spacing w:val="-12"/>
        </w:rPr>
        <w:t xml:space="preserve"> 天将更换人员的姓名、职务、联系方式、授权范围</w:t>
      </w:r>
      <w:r>
        <w:rPr>
          <w:spacing w:val="-4"/>
        </w:rPr>
        <w:t xml:space="preserve">和授权期限书面通知监理人。委托人代表超过 </w:t>
      </w:r>
      <w:r>
        <w:t>2</w:t>
      </w:r>
      <w:r>
        <w:rPr>
          <w:spacing w:val="-5"/>
        </w:rPr>
        <w:t xml:space="preserve"> 天不能履行职责的，应委派代表代行其职责，并通</w:t>
      </w:r>
      <w:r>
        <w:rPr>
          <w:spacing w:val="-4"/>
        </w:rPr>
        <w:t>知监理人。</w:t>
      </w:r>
    </w:p>
    <w:p>
      <w:pPr>
        <w:pStyle w:val="11"/>
        <w:spacing w:before="4"/>
        <w:rPr>
          <w:sz w:val="20"/>
        </w:rPr>
      </w:pPr>
    </w:p>
    <w:p>
      <w:pPr>
        <w:pStyle w:val="6"/>
        <w:numPr>
          <w:ilvl w:val="1"/>
          <w:numId w:val="4"/>
        </w:numPr>
        <w:tabs>
          <w:tab w:val="left" w:pos="801"/>
        </w:tabs>
        <w:ind w:hanging="426"/>
      </w:pPr>
      <w:bookmarkStart w:id="102" w:name="_bookmark134"/>
      <w:bookmarkEnd w:id="102"/>
      <w:r>
        <w:t>委托人的指示</w:t>
      </w:r>
    </w:p>
    <w:p>
      <w:pPr>
        <w:pStyle w:val="107"/>
        <w:numPr>
          <w:ilvl w:val="2"/>
          <w:numId w:val="4"/>
        </w:numPr>
        <w:tabs>
          <w:tab w:val="left" w:pos="1188"/>
        </w:tabs>
        <w:spacing w:line="364" w:lineRule="auto"/>
        <w:ind w:right="1153" w:firstLine="404"/>
      </w:pPr>
      <w:r>
        <w:rPr>
          <w:spacing w:val="-4"/>
        </w:rPr>
        <w:t>委托人应按合同约定向监理人发出指示，委托人的指示应盖有委托人单位章，并由委托</w:t>
      </w:r>
      <w:r>
        <w:rPr>
          <w:spacing w:val="-3"/>
        </w:rPr>
        <w:t>人代表签字确认。</w:t>
      </w:r>
    </w:p>
    <w:p>
      <w:pPr>
        <w:pStyle w:val="107"/>
        <w:numPr>
          <w:ilvl w:val="2"/>
          <w:numId w:val="4"/>
        </w:numPr>
        <w:tabs>
          <w:tab w:val="left" w:pos="640"/>
        </w:tabs>
        <w:spacing w:line="267" w:lineRule="exact"/>
        <w:ind w:left="647" w:hanging="7" w:firstLineChars="0"/>
      </w:pPr>
      <w:r>
        <w:rPr>
          <w:spacing w:val="-5"/>
        </w:rPr>
        <w:t xml:space="preserve">监理人收到委托人作出的指示后应遵照执行。指示构成变更的，应按第 </w:t>
      </w:r>
      <w:r>
        <w:t>8</w:t>
      </w:r>
      <w:r>
        <w:rPr>
          <w:spacing w:val="-13"/>
        </w:rPr>
        <w:t xml:space="preserve"> 条执行。</w:t>
      </w:r>
    </w:p>
    <w:p>
      <w:pPr>
        <w:pStyle w:val="107"/>
        <w:numPr>
          <w:ilvl w:val="2"/>
          <w:numId w:val="4"/>
        </w:numPr>
        <w:tabs>
          <w:tab w:val="left" w:pos="1188"/>
        </w:tabs>
        <w:spacing w:before="139" w:line="364" w:lineRule="auto"/>
        <w:ind w:right="36" w:firstLine="408"/>
      </w:pPr>
      <w:r>
        <w:rPr>
          <w:spacing w:val="-3"/>
        </w:rPr>
        <w:t>在紧急情况下，委托人代表或其授权人员可以当场签发临时书面指示，监理人应遵照执</w:t>
      </w:r>
      <w:r>
        <w:rPr>
          <w:spacing w:val="-8"/>
        </w:rPr>
        <w:t xml:space="preserve">行。委托人代表应在临时书面指示发出后 </w:t>
      </w:r>
      <w:r>
        <w:t>24</w:t>
      </w:r>
      <w:r>
        <w:rPr>
          <w:spacing w:val="-10"/>
        </w:rPr>
        <w:t xml:space="preserve"> 小时内发出书面确认函，逾期未发出书面确认函的，该</w:t>
      </w:r>
      <w:r>
        <w:rPr>
          <w:spacing w:val="-5"/>
        </w:rPr>
        <w:t>临时书面指示应被视为委托人的正式指示。</w:t>
      </w:r>
    </w:p>
    <w:p>
      <w:pPr>
        <w:pStyle w:val="107"/>
        <w:numPr>
          <w:ilvl w:val="2"/>
          <w:numId w:val="4"/>
        </w:numPr>
        <w:tabs>
          <w:tab w:val="left" w:pos="1188"/>
        </w:tabs>
        <w:spacing w:line="364" w:lineRule="auto"/>
        <w:ind w:right="940" w:firstLine="376"/>
      </w:pPr>
      <w:r>
        <w:rPr>
          <w:spacing w:val="-11"/>
        </w:rPr>
        <w:t>由于委托人未能按合同约定发出指示、指示延误或指示错误而导致监理人费用增加和</w:t>
      </w:r>
      <w:r>
        <w:rPr>
          <w:spacing w:val="-3"/>
        </w:rPr>
        <w:t>（或</w:t>
      </w:r>
      <w:r>
        <w:t xml:space="preserve">） </w:t>
      </w:r>
      <w:r>
        <w:rPr>
          <w:spacing w:val="-3"/>
        </w:rPr>
        <w:t>周期延误的，委托人应承担由此增加的费用和</w:t>
      </w:r>
      <w:r>
        <w:t>（</w:t>
      </w:r>
      <w:r>
        <w:rPr>
          <w:spacing w:val="-3"/>
        </w:rPr>
        <w:t>或</w:t>
      </w:r>
      <w:r>
        <w:t>）</w:t>
      </w:r>
      <w:r>
        <w:rPr>
          <w:spacing w:val="-3"/>
        </w:rPr>
        <w:t>周期延误。</w:t>
      </w:r>
    </w:p>
    <w:p>
      <w:pPr>
        <w:pStyle w:val="6"/>
        <w:numPr>
          <w:ilvl w:val="1"/>
          <w:numId w:val="4"/>
        </w:numPr>
        <w:tabs>
          <w:tab w:val="left" w:pos="801"/>
        </w:tabs>
        <w:ind w:hanging="426"/>
        <w:rPr>
          <w:sz w:val="20"/>
        </w:rPr>
      </w:pPr>
      <w:bookmarkStart w:id="103" w:name="_bookmark135"/>
      <w:bookmarkEnd w:id="103"/>
      <w:r>
        <w:t>决定或答复</w:t>
      </w:r>
    </w:p>
    <w:p>
      <w:pPr>
        <w:pStyle w:val="107"/>
        <w:numPr>
          <w:ilvl w:val="2"/>
          <w:numId w:val="4"/>
        </w:numPr>
        <w:tabs>
          <w:tab w:val="left" w:pos="1188"/>
        </w:tabs>
        <w:spacing w:line="364" w:lineRule="auto"/>
        <w:ind w:right="36" w:firstLine="412"/>
      </w:pPr>
      <w:r>
        <w:rPr>
          <w:spacing w:val="-2"/>
        </w:rPr>
        <w:t>委托人在法律允许的范围内有权对监理人的监理工作和</w:t>
      </w:r>
      <w:r>
        <w:t>（或）</w:t>
      </w:r>
      <w:r>
        <w:rPr>
          <w:spacing w:val="-3"/>
        </w:rPr>
        <w:t xml:space="preserve">监理文件作出处理决定， </w:t>
      </w:r>
      <w:r>
        <w:rPr>
          <w:spacing w:val="-5"/>
        </w:rPr>
        <w:t xml:space="preserve">监理人应按照委托人的决定执行，涉及监理服务期限或监理报酬等问题按第 </w:t>
      </w:r>
      <w:r>
        <w:t>8</w:t>
      </w:r>
      <w:r>
        <w:rPr>
          <w:spacing w:val="-9"/>
        </w:rPr>
        <w:t xml:space="preserve"> 条的约定处理。</w:t>
      </w:r>
    </w:p>
    <w:p>
      <w:pPr>
        <w:pStyle w:val="107"/>
        <w:numPr>
          <w:ilvl w:val="2"/>
          <w:numId w:val="4"/>
        </w:numPr>
        <w:tabs>
          <w:tab w:val="left" w:pos="1188"/>
        </w:tabs>
        <w:spacing w:before="1" w:line="364" w:lineRule="auto"/>
        <w:ind w:right="1153" w:firstLine="404"/>
        <w:rPr>
          <w:sz w:val="20"/>
        </w:rPr>
      </w:pPr>
      <w:r>
        <w:rPr>
          <w:spacing w:val="-4"/>
        </w:rPr>
        <w:t>委托人应在专用合同条款约定的时间之内，对监理人书面提出的事项作出书面答复；逾</w:t>
      </w:r>
      <w:r>
        <w:rPr>
          <w:spacing w:val="-3"/>
        </w:rPr>
        <w:t>期没有作出答复的，视为已获得委托人的批准。</w:t>
      </w:r>
    </w:p>
    <w:p>
      <w:pPr>
        <w:pStyle w:val="4"/>
        <w:numPr>
          <w:ilvl w:val="0"/>
          <w:numId w:val="4"/>
        </w:numPr>
        <w:tabs>
          <w:tab w:val="left" w:pos="561"/>
        </w:tabs>
        <w:spacing w:before="0"/>
        <w:ind w:left="560" w:hanging="323"/>
        <w:jc w:val="left"/>
      </w:pPr>
      <w:bookmarkStart w:id="104" w:name="_bookmark136"/>
      <w:bookmarkEnd w:id="104"/>
      <w:r>
        <w:t>监理人义务</w:t>
      </w:r>
    </w:p>
    <w:p>
      <w:pPr>
        <w:pStyle w:val="6"/>
        <w:numPr>
          <w:ilvl w:val="1"/>
          <w:numId w:val="4"/>
        </w:numPr>
        <w:tabs>
          <w:tab w:val="left" w:pos="801"/>
        </w:tabs>
        <w:spacing w:before="267"/>
        <w:ind w:hanging="426"/>
        <w:rPr>
          <w:sz w:val="20"/>
        </w:rPr>
      </w:pPr>
      <w:bookmarkStart w:id="105" w:name="_bookmark137"/>
      <w:bookmarkEnd w:id="105"/>
      <w:r>
        <w:t>监理人的一般义务</w:t>
      </w:r>
    </w:p>
    <w:p>
      <w:pPr>
        <w:pStyle w:val="107"/>
        <w:numPr>
          <w:ilvl w:val="2"/>
          <w:numId w:val="4"/>
        </w:numPr>
        <w:tabs>
          <w:tab w:val="left" w:pos="640"/>
        </w:tabs>
        <w:spacing w:before="1"/>
        <w:ind w:left="647" w:hanging="7" w:firstLineChars="0"/>
      </w:pPr>
      <w:r>
        <w:rPr>
          <w:spacing w:val="-3"/>
        </w:rPr>
        <w:t>遵守法律</w:t>
      </w:r>
    </w:p>
    <w:p>
      <w:pPr>
        <w:pStyle w:val="11"/>
        <w:spacing w:before="141" w:line="364" w:lineRule="auto"/>
        <w:ind w:left="238" w:right="36" w:firstLine="420"/>
      </w:pPr>
      <w:r>
        <w:rPr>
          <w:spacing w:val="-4"/>
        </w:rPr>
        <w:t>监理人在履行合同过程中应遵守法律，并保证委托人免于承担因监理人违反法律而引起的任何</w:t>
      </w:r>
      <w:r>
        <w:rPr>
          <w:spacing w:val="-1"/>
        </w:rPr>
        <w:t>责任。</w:t>
      </w:r>
    </w:p>
    <w:p>
      <w:pPr>
        <w:pStyle w:val="107"/>
        <w:numPr>
          <w:ilvl w:val="2"/>
          <w:numId w:val="4"/>
        </w:numPr>
        <w:tabs>
          <w:tab w:val="left" w:pos="640"/>
        </w:tabs>
        <w:spacing w:line="267" w:lineRule="exact"/>
        <w:ind w:left="647" w:hanging="7" w:firstLineChars="0"/>
      </w:pPr>
      <w:r>
        <w:rPr>
          <w:spacing w:val="-3"/>
        </w:rPr>
        <w:t>依法纳税</w:t>
      </w:r>
    </w:p>
    <w:p>
      <w:pPr>
        <w:pStyle w:val="11"/>
        <w:spacing w:before="139" w:line="364" w:lineRule="auto"/>
        <w:ind w:left="17" w:right="36" w:hanging="16" w:hangingChars="8"/>
      </w:pPr>
      <w:r>
        <w:t>监理人应按有关法律规定纳税，应缴纳的税金（含增值税）包括在合同价格之中。</w:t>
      </w:r>
    </w:p>
    <w:p>
      <w:pPr>
        <w:pStyle w:val="11"/>
        <w:spacing w:before="139" w:line="364" w:lineRule="auto"/>
        <w:ind w:left="208" w:leftChars="99" w:right="36" w:firstLine="403" w:firstLineChars="192"/>
      </w:pPr>
      <w:r>
        <w:t>4.1.3 完成全部监理工作</w:t>
      </w:r>
      <w:r>
        <w:rPr>
          <w:spacing w:val="-4"/>
        </w:rPr>
        <w:t>监理人应按合同约定以及委托人要求，完成合同约定的全部工作，并对工作中的任何缺陷进行</w:t>
      </w:r>
      <w:r>
        <w:rPr>
          <w:spacing w:val="-3"/>
        </w:rPr>
        <w:t>整改，使其满足合同约定的目的。</w:t>
      </w:r>
    </w:p>
    <w:p>
      <w:pPr>
        <w:pStyle w:val="11"/>
        <w:spacing w:line="268" w:lineRule="exact"/>
        <w:ind w:left="658"/>
      </w:pPr>
      <w:r>
        <w:t xml:space="preserve">4.1.4 其他义务 </w:t>
      </w:r>
    </w:p>
    <w:p>
      <w:pPr>
        <w:pStyle w:val="11"/>
        <w:spacing w:before="139"/>
        <w:ind w:left="658"/>
        <w:rPr>
          <w:sz w:val="20"/>
        </w:rPr>
      </w:pPr>
      <w:r>
        <w:t xml:space="preserve">监理人应履行合同约定的其他义务。 </w:t>
      </w:r>
    </w:p>
    <w:p>
      <w:pPr>
        <w:pStyle w:val="6"/>
        <w:numPr>
          <w:ilvl w:val="1"/>
          <w:numId w:val="4"/>
        </w:numPr>
        <w:tabs>
          <w:tab w:val="left" w:pos="801"/>
        </w:tabs>
        <w:spacing w:before="144"/>
        <w:ind w:hanging="426"/>
        <w:rPr>
          <w:sz w:val="20"/>
        </w:rPr>
      </w:pPr>
      <w:bookmarkStart w:id="106" w:name="_bookmark138"/>
      <w:bookmarkEnd w:id="106"/>
      <w:r>
        <w:t>履约保证金</w:t>
      </w:r>
    </w:p>
    <w:p>
      <w:pPr>
        <w:pStyle w:val="11"/>
        <w:spacing w:line="364" w:lineRule="auto"/>
        <w:ind w:left="238" w:right="36" w:firstLine="420"/>
        <w:rPr>
          <w:sz w:val="20"/>
        </w:rPr>
      </w:pPr>
      <w:r>
        <w:rPr>
          <w:spacing w:val="-4"/>
        </w:rPr>
        <w:t>除专用合同条款另有约定外，履约保证金自合同生效之日起生效，在委托人签发竣工验收证书</w:t>
      </w:r>
      <w:r>
        <w:rPr>
          <w:spacing w:val="-10"/>
        </w:rPr>
        <w:t xml:space="preserve">之日起 </w:t>
      </w:r>
      <w:r>
        <w:t>28</w:t>
      </w:r>
      <w:r>
        <w:rPr>
          <w:spacing w:val="-10"/>
        </w:rPr>
        <w:t xml:space="preserve"> 日后失效。如果监理人不履行合同约定的义务或其履行不符合合同的约定，委托人有权扣</w:t>
      </w:r>
      <w:r>
        <w:rPr>
          <w:spacing w:val="-5"/>
        </w:rPr>
        <w:t xml:space="preserve">划相应金额的履约保证金。 </w:t>
      </w:r>
    </w:p>
    <w:p>
      <w:pPr>
        <w:pStyle w:val="6"/>
        <w:numPr>
          <w:ilvl w:val="1"/>
          <w:numId w:val="4"/>
        </w:numPr>
        <w:tabs>
          <w:tab w:val="left" w:pos="801"/>
        </w:tabs>
        <w:ind w:hanging="426"/>
        <w:rPr>
          <w:sz w:val="20"/>
        </w:rPr>
      </w:pPr>
      <w:bookmarkStart w:id="107" w:name="_bookmark139"/>
      <w:bookmarkEnd w:id="107"/>
      <w:r>
        <w:rPr>
          <w:spacing w:val="-1"/>
        </w:rPr>
        <w:t>联合体</w:t>
      </w:r>
    </w:p>
    <w:p>
      <w:pPr>
        <w:pStyle w:val="107"/>
        <w:numPr>
          <w:ilvl w:val="2"/>
          <w:numId w:val="4"/>
        </w:numPr>
        <w:tabs>
          <w:tab w:val="left" w:pos="1188"/>
        </w:tabs>
        <w:ind w:left="544" w:leftChars="259" w:firstLine="95" w:firstLineChars="47"/>
      </w:pPr>
      <w:r>
        <w:rPr>
          <w:spacing w:val="-3"/>
        </w:rPr>
        <w:t xml:space="preserve">联合体各方应共同与委托人签订合同。联合体各方应为履行合同承担连带责任。 </w:t>
      </w:r>
    </w:p>
    <w:p>
      <w:pPr>
        <w:pStyle w:val="107"/>
        <w:numPr>
          <w:ilvl w:val="2"/>
          <w:numId w:val="4"/>
        </w:numPr>
        <w:tabs>
          <w:tab w:val="left" w:pos="1188"/>
        </w:tabs>
        <w:spacing w:before="139" w:line="367" w:lineRule="auto"/>
        <w:ind w:right="36" w:firstLine="404"/>
      </w:pPr>
      <w:r>
        <w:rPr>
          <w:spacing w:val="-4"/>
        </w:rPr>
        <w:t>联合体协议经委托人确认后作为合同附件。在履行合同过程中，未经委托人同意，不得</w:t>
      </w:r>
      <w:r>
        <w:rPr>
          <w:spacing w:val="-3"/>
        </w:rPr>
        <w:t>修改联合体协议。</w:t>
      </w:r>
    </w:p>
    <w:p>
      <w:pPr>
        <w:pStyle w:val="107"/>
        <w:numPr>
          <w:ilvl w:val="2"/>
          <w:numId w:val="4"/>
        </w:numPr>
        <w:tabs>
          <w:tab w:val="left" w:pos="1188"/>
        </w:tabs>
        <w:spacing w:line="364" w:lineRule="auto"/>
        <w:ind w:right="1153" w:firstLine="404"/>
        <w:rPr>
          <w:sz w:val="19"/>
        </w:rPr>
      </w:pPr>
      <w:r>
        <w:rPr>
          <w:spacing w:val="-4"/>
        </w:rPr>
        <w:t>联合体牵头人或联合体授权的代表负责与委托人联系，并接受指示，负责组织联合体各</w:t>
      </w:r>
      <w:r>
        <w:rPr>
          <w:spacing w:val="-3"/>
        </w:rPr>
        <w:t>成员全面履行合同。</w:t>
      </w:r>
    </w:p>
    <w:p>
      <w:pPr>
        <w:pStyle w:val="6"/>
        <w:numPr>
          <w:ilvl w:val="1"/>
          <w:numId w:val="4"/>
        </w:numPr>
        <w:tabs>
          <w:tab w:val="left" w:pos="801"/>
        </w:tabs>
        <w:ind w:hanging="426"/>
        <w:rPr>
          <w:sz w:val="20"/>
        </w:rPr>
      </w:pPr>
      <w:bookmarkStart w:id="108" w:name="_bookmark140"/>
      <w:bookmarkEnd w:id="108"/>
      <w:r>
        <w:t>总监理工程师</w:t>
      </w:r>
    </w:p>
    <w:p>
      <w:pPr>
        <w:pStyle w:val="107"/>
        <w:numPr>
          <w:ilvl w:val="2"/>
          <w:numId w:val="4"/>
        </w:numPr>
        <w:tabs>
          <w:tab w:val="left" w:pos="1188"/>
        </w:tabs>
        <w:spacing w:line="367" w:lineRule="auto"/>
        <w:ind w:right="36" w:firstLine="408"/>
      </w:pPr>
      <w:r>
        <w:rPr>
          <w:spacing w:val="-3"/>
        </w:rPr>
        <w:t>监理人应按合同协议书的约定指派总监理工程师，并在约定的期限内到职。监理人更换</w:t>
      </w:r>
      <w:r>
        <w:rPr>
          <w:spacing w:val="-9"/>
        </w:rPr>
        <w:t xml:space="preserve">总监理工程师应事先征得委托人同意，并应在更换 </w:t>
      </w:r>
      <w:r>
        <w:t>14</w:t>
      </w:r>
      <w:r>
        <w:rPr>
          <w:spacing w:val="-7"/>
        </w:rPr>
        <w:t xml:space="preserve"> 天前将拟更换的总监理工程师的姓名和详细资</w:t>
      </w:r>
      <w:r>
        <w:rPr>
          <w:spacing w:val="-4"/>
        </w:rPr>
        <w:t xml:space="preserve">料提交委托人。总监理工程师 </w:t>
      </w:r>
      <w:r>
        <w:t>2</w:t>
      </w:r>
      <w:r>
        <w:rPr>
          <w:spacing w:val="-4"/>
        </w:rPr>
        <w:t xml:space="preserve"> 天内不能履行职责的，应事先征得委托人同意，并委派代表代行其职责。</w:t>
      </w:r>
    </w:p>
    <w:p>
      <w:pPr>
        <w:pStyle w:val="107"/>
        <w:numPr>
          <w:ilvl w:val="2"/>
          <w:numId w:val="4"/>
        </w:numPr>
        <w:tabs>
          <w:tab w:val="left" w:pos="1293"/>
        </w:tabs>
        <w:spacing w:line="364" w:lineRule="auto"/>
        <w:ind w:right="36" w:firstLine="404"/>
      </w:pPr>
      <w:r>
        <w:rPr>
          <w:spacing w:val="-4"/>
        </w:rPr>
        <w:t>总监理工程师应按合同约定以及委托人要求，负责组织合同工作的实施。在情况紧急且</w:t>
      </w:r>
      <w:r>
        <w:rPr>
          <w:spacing w:val="-8"/>
        </w:rPr>
        <w:t xml:space="preserve">无法与委托人取得联系时，可采取保证工程和人员生命财产安全的紧急措施，并在采取措施后 </w:t>
      </w:r>
      <w:r>
        <w:t>24</w:t>
      </w:r>
      <w:r>
        <w:rPr>
          <w:spacing w:val="-17"/>
        </w:rPr>
        <w:t xml:space="preserve"> 小</w:t>
      </w:r>
      <w:r>
        <w:rPr>
          <w:spacing w:val="-7"/>
        </w:rPr>
        <w:t>时内向委托人提交书面报告。</w:t>
      </w:r>
    </w:p>
    <w:p>
      <w:pPr>
        <w:pStyle w:val="107"/>
        <w:numPr>
          <w:ilvl w:val="2"/>
          <w:numId w:val="4"/>
        </w:numPr>
        <w:tabs>
          <w:tab w:val="left" w:pos="1188"/>
        </w:tabs>
        <w:spacing w:line="364" w:lineRule="auto"/>
        <w:ind w:right="36" w:firstLine="404"/>
      </w:pPr>
      <w:r>
        <w:rPr>
          <w:spacing w:val="-4"/>
        </w:rPr>
        <w:t xml:space="preserve">监理人为履行合同发出的一切函件均应盖有监理人单位章或由监理人授权的项目机构章， </w:t>
      </w:r>
      <w:r>
        <w:rPr>
          <w:spacing w:val="-3"/>
        </w:rPr>
        <w:t>并由监理人的总监理工程师签字确认。</w:t>
      </w:r>
    </w:p>
    <w:p>
      <w:pPr>
        <w:pStyle w:val="107"/>
        <w:numPr>
          <w:ilvl w:val="2"/>
          <w:numId w:val="4"/>
        </w:numPr>
        <w:tabs>
          <w:tab w:val="left" w:pos="1188"/>
        </w:tabs>
        <w:spacing w:line="364" w:lineRule="auto"/>
        <w:ind w:right="36" w:firstLine="404"/>
      </w:pPr>
      <w:r>
        <w:rPr>
          <w:spacing w:val="-4"/>
        </w:rPr>
        <w:t>按照专用合同条款约定，总监理工程师可以授权其下属人员履行其某项职责，但事先应</w:t>
      </w:r>
      <w:r>
        <w:rPr>
          <w:spacing w:val="-3"/>
        </w:rPr>
        <w:t>将这些人员的姓名和授权范围书面通知委托人和承包人。</w:t>
      </w:r>
    </w:p>
    <w:p>
      <w:pPr>
        <w:pStyle w:val="11"/>
        <w:spacing w:before="7"/>
        <w:rPr>
          <w:sz w:val="19"/>
        </w:rPr>
      </w:pPr>
    </w:p>
    <w:p>
      <w:pPr>
        <w:pStyle w:val="6"/>
        <w:numPr>
          <w:ilvl w:val="1"/>
          <w:numId w:val="4"/>
        </w:numPr>
        <w:tabs>
          <w:tab w:val="left" w:pos="801"/>
        </w:tabs>
        <w:ind w:hanging="426"/>
        <w:rPr>
          <w:sz w:val="20"/>
        </w:rPr>
      </w:pPr>
      <w:bookmarkStart w:id="109" w:name="_bookmark141"/>
      <w:bookmarkEnd w:id="109"/>
      <w:r>
        <w:t>监理人员的管理</w:t>
      </w:r>
    </w:p>
    <w:p>
      <w:pPr>
        <w:pStyle w:val="107"/>
        <w:numPr>
          <w:ilvl w:val="2"/>
          <w:numId w:val="4"/>
        </w:numPr>
        <w:tabs>
          <w:tab w:val="left" w:pos="1188"/>
        </w:tabs>
        <w:spacing w:line="364" w:lineRule="auto"/>
        <w:ind w:right="36" w:firstLine="400"/>
      </w:pPr>
      <w:r>
        <w:rPr>
          <w:spacing w:val="-5"/>
        </w:rPr>
        <w:t xml:space="preserve">监理人应在接到开始监理通知之日起 </w:t>
      </w:r>
      <w:r>
        <w:t>7</w:t>
      </w:r>
      <w:r>
        <w:rPr>
          <w:spacing w:val="-6"/>
        </w:rPr>
        <w:t xml:space="preserve"> 天内，向委托人提交监理项目机构以及人员安排</w:t>
      </w:r>
      <w:r>
        <w:rPr>
          <w:spacing w:val="-7"/>
        </w:rPr>
        <w:t>的报告，其内容应包括项目机构设置、主要监理人员和作业人员的名单及资格条件。主要监理人员</w:t>
      </w:r>
      <w:r>
        <w:rPr>
          <w:spacing w:val="-9"/>
        </w:rPr>
        <w:t>应相对稳定，更换主要监理人员的，应取得委托人的同意,并向委托人提交继任人员的资格、管理经</w:t>
      </w:r>
      <w:r>
        <w:rPr>
          <w:spacing w:val="-8"/>
        </w:rPr>
        <w:t xml:space="preserve">验等资料。总监理工程师的更换，应按照本章第 </w:t>
      </w:r>
      <w:r>
        <w:t>4.4.1</w:t>
      </w:r>
      <w:r>
        <w:rPr>
          <w:spacing w:val="-10"/>
        </w:rPr>
        <w:t xml:space="preserve"> 项规定执行。</w:t>
      </w:r>
    </w:p>
    <w:p>
      <w:pPr>
        <w:pStyle w:val="107"/>
        <w:numPr>
          <w:ilvl w:val="2"/>
          <w:numId w:val="4"/>
        </w:numPr>
        <w:tabs>
          <w:tab w:val="left" w:pos="1293"/>
        </w:tabs>
        <w:spacing w:line="364" w:lineRule="auto"/>
        <w:ind w:right="36" w:firstLine="404"/>
      </w:pPr>
      <w:r>
        <w:rPr>
          <w:spacing w:val="-4"/>
        </w:rPr>
        <w:t>除专用合同条款另有约定外，主要监理人员包括总监理工程师、专业监理工程师等；其</w:t>
      </w:r>
      <w:r>
        <w:rPr>
          <w:spacing w:val="-3"/>
        </w:rPr>
        <w:t>他人员包括各专业的监理员、资料员等。</w:t>
      </w:r>
    </w:p>
    <w:p>
      <w:pPr>
        <w:pStyle w:val="107"/>
        <w:numPr>
          <w:ilvl w:val="2"/>
          <w:numId w:val="4"/>
        </w:numPr>
        <w:tabs>
          <w:tab w:val="left" w:pos="1293"/>
        </w:tabs>
        <w:spacing w:line="364" w:lineRule="auto"/>
        <w:ind w:right="36" w:firstLine="404"/>
      </w:pPr>
      <w:r>
        <w:rPr>
          <w:spacing w:val="-4"/>
        </w:rPr>
        <w:t>监理人应保证其主要监理人员在合同期限内的任何时候，都能按时参加委托人组织的工</w:t>
      </w:r>
      <w:r>
        <w:rPr>
          <w:spacing w:val="-2"/>
        </w:rPr>
        <w:t>作会议。</w:t>
      </w:r>
    </w:p>
    <w:p>
      <w:pPr>
        <w:pStyle w:val="107"/>
        <w:numPr>
          <w:ilvl w:val="2"/>
          <w:numId w:val="4"/>
        </w:numPr>
        <w:tabs>
          <w:tab w:val="left" w:pos="1188"/>
        </w:tabs>
        <w:spacing w:line="364" w:lineRule="auto"/>
        <w:ind w:right="36" w:firstLine="404"/>
        <w:rPr>
          <w:sz w:val="20"/>
        </w:rPr>
      </w:pPr>
      <w:r>
        <w:rPr>
          <w:spacing w:val="-4"/>
        </w:rPr>
        <w:t>国家规定应当持证上岗的工作人员均应持有相应的资格证明，委托人有权随时检查。委</w:t>
      </w:r>
      <w:r>
        <w:rPr>
          <w:spacing w:val="-3"/>
        </w:rPr>
        <w:t>托人认为有必要时，可以进行现场考核。</w:t>
      </w:r>
    </w:p>
    <w:p>
      <w:pPr>
        <w:pStyle w:val="6"/>
        <w:numPr>
          <w:ilvl w:val="1"/>
          <w:numId w:val="4"/>
        </w:numPr>
        <w:tabs>
          <w:tab w:val="left" w:pos="801"/>
        </w:tabs>
        <w:ind w:hanging="426"/>
        <w:rPr>
          <w:sz w:val="20"/>
        </w:rPr>
      </w:pPr>
      <w:bookmarkStart w:id="110" w:name="_bookmark142"/>
      <w:bookmarkEnd w:id="110"/>
      <w:r>
        <w:t>撤换总监理工程师和其他人员</w:t>
      </w:r>
    </w:p>
    <w:p>
      <w:pPr>
        <w:pStyle w:val="11"/>
        <w:spacing w:line="364" w:lineRule="auto"/>
        <w:ind w:left="238" w:right="36" w:firstLine="420"/>
        <w:rPr>
          <w:sz w:val="20"/>
        </w:rPr>
      </w:pPr>
      <w:r>
        <w:rPr>
          <w:spacing w:val="-4"/>
        </w:rPr>
        <w:t>监理人应对其总监理工程师和其他人员进行有效管理。委托人要求撤换不能胜任本职工作、行</w:t>
      </w:r>
      <w:r>
        <w:rPr>
          <w:spacing w:val="-3"/>
        </w:rPr>
        <w:t>为不端或玩忽职守的总监理工程师和其他人员的，监理人应予以撤换。</w:t>
      </w:r>
    </w:p>
    <w:p>
      <w:pPr>
        <w:pStyle w:val="6"/>
        <w:numPr>
          <w:ilvl w:val="1"/>
          <w:numId w:val="4"/>
        </w:numPr>
        <w:tabs>
          <w:tab w:val="left" w:pos="801"/>
        </w:tabs>
        <w:ind w:hanging="426"/>
        <w:rPr>
          <w:sz w:val="20"/>
        </w:rPr>
      </w:pPr>
      <w:bookmarkStart w:id="111" w:name="_bookmark143"/>
      <w:bookmarkEnd w:id="111"/>
      <w:r>
        <w:t>保障人员的合法权益</w:t>
      </w:r>
    </w:p>
    <w:p>
      <w:pPr>
        <w:pStyle w:val="107"/>
        <w:numPr>
          <w:ilvl w:val="2"/>
          <w:numId w:val="4"/>
        </w:numPr>
        <w:tabs>
          <w:tab w:val="left" w:pos="1188"/>
        </w:tabs>
        <w:ind w:left="762" w:leftChars="304" w:hanging="124" w:hangingChars="61"/>
      </w:pPr>
      <w:r>
        <w:rPr>
          <w:spacing w:val="-3"/>
        </w:rPr>
        <w:t>监理人应与其雇用的人员签订劳动合同，并按时发放工资。</w:t>
      </w:r>
    </w:p>
    <w:p>
      <w:pPr>
        <w:pStyle w:val="107"/>
        <w:numPr>
          <w:ilvl w:val="2"/>
          <w:numId w:val="4"/>
        </w:numPr>
        <w:tabs>
          <w:tab w:val="left" w:pos="1188"/>
        </w:tabs>
        <w:spacing w:before="139" w:line="364" w:lineRule="auto"/>
        <w:ind w:right="36" w:firstLine="408"/>
      </w:pPr>
      <w:r>
        <w:rPr>
          <w:spacing w:val="-3"/>
        </w:rPr>
        <w:t>监理人应按劳动法的规定安排工作时间，保证其雇用人员享有休息和休假的权利。因监 理需要占用休假日或延长工作时间的，应不超过法律规定的限度，并按法律规定给予补休或付酬。</w:t>
      </w:r>
    </w:p>
    <w:p>
      <w:pPr>
        <w:pStyle w:val="107"/>
        <w:numPr>
          <w:ilvl w:val="2"/>
          <w:numId w:val="4"/>
        </w:numPr>
        <w:tabs>
          <w:tab w:val="left" w:pos="1188"/>
        </w:tabs>
        <w:spacing w:before="1"/>
        <w:ind w:left="624" w:leftChars="297" w:firstLine="14" w:firstLineChars="7"/>
      </w:pPr>
      <w:r>
        <w:rPr>
          <w:spacing w:val="-3"/>
        </w:rPr>
        <w:t>监理人应按有关法律规定和合同约定，为其雇用人员办理保险。</w:t>
      </w:r>
    </w:p>
    <w:p>
      <w:pPr>
        <w:pStyle w:val="11"/>
        <w:rPr>
          <w:sz w:val="20"/>
        </w:rPr>
      </w:pPr>
    </w:p>
    <w:p>
      <w:pPr>
        <w:pStyle w:val="6"/>
        <w:numPr>
          <w:ilvl w:val="1"/>
          <w:numId w:val="4"/>
        </w:numPr>
        <w:tabs>
          <w:tab w:val="left" w:pos="801"/>
        </w:tabs>
        <w:spacing w:before="141"/>
        <w:ind w:hanging="426"/>
        <w:rPr>
          <w:sz w:val="20"/>
        </w:rPr>
      </w:pPr>
      <w:bookmarkStart w:id="112" w:name="_bookmark144"/>
      <w:bookmarkEnd w:id="112"/>
      <w:r>
        <w:t>合同价款应专款专用</w:t>
      </w:r>
    </w:p>
    <w:p>
      <w:pPr>
        <w:pStyle w:val="11"/>
        <w:spacing w:before="1"/>
        <w:ind w:left="658"/>
      </w:pPr>
      <w:r>
        <w:t xml:space="preserve">委托人按合同约定支付给监理人的各项价款，应专用于合同监理工作。 </w:t>
      </w:r>
    </w:p>
    <w:p>
      <w:pPr>
        <w:pStyle w:val="11"/>
        <w:rPr>
          <w:sz w:val="20"/>
        </w:rPr>
      </w:pPr>
    </w:p>
    <w:p>
      <w:pPr>
        <w:pStyle w:val="4"/>
        <w:numPr>
          <w:ilvl w:val="0"/>
          <w:numId w:val="4"/>
        </w:numPr>
        <w:tabs>
          <w:tab w:val="left" w:pos="561"/>
        </w:tabs>
        <w:spacing w:before="142"/>
        <w:ind w:left="560" w:hanging="323"/>
        <w:jc w:val="left"/>
      </w:pPr>
      <w:bookmarkStart w:id="113" w:name="_bookmark145"/>
      <w:bookmarkEnd w:id="113"/>
      <w:r>
        <w:t>监理要求</w:t>
      </w:r>
    </w:p>
    <w:p>
      <w:pPr>
        <w:pStyle w:val="6"/>
        <w:numPr>
          <w:ilvl w:val="1"/>
          <w:numId w:val="4"/>
        </w:numPr>
        <w:tabs>
          <w:tab w:val="left" w:pos="801"/>
        </w:tabs>
        <w:spacing w:before="266"/>
        <w:ind w:hanging="426"/>
        <w:rPr>
          <w:sz w:val="20"/>
        </w:rPr>
      </w:pPr>
      <w:bookmarkStart w:id="114" w:name="_bookmark146"/>
      <w:bookmarkEnd w:id="114"/>
      <w:r>
        <w:rPr>
          <w:spacing w:val="-1"/>
        </w:rPr>
        <w:t>监理范围</w:t>
      </w:r>
    </w:p>
    <w:p>
      <w:pPr>
        <w:pStyle w:val="107"/>
        <w:numPr>
          <w:ilvl w:val="2"/>
          <w:numId w:val="4"/>
        </w:numPr>
        <w:tabs>
          <w:tab w:val="left" w:pos="1188"/>
        </w:tabs>
        <w:spacing w:line="364" w:lineRule="auto"/>
        <w:ind w:right="36" w:firstLine="404"/>
      </w:pPr>
      <w:r>
        <w:rPr>
          <w:spacing w:val="-4"/>
        </w:rPr>
        <w:t>本合同的监理范围包括工程范围、阶段范围和工作范围，具体监理范围应当根据三者之</w:t>
      </w:r>
      <w:r>
        <w:rPr>
          <w:spacing w:val="-3"/>
        </w:rPr>
        <w:t>间的关联内容进行确定。</w:t>
      </w:r>
    </w:p>
    <w:p>
      <w:pPr>
        <w:pStyle w:val="107"/>
        <w:numPr>
          <w:ilvl w:val="2"/>
          <w:numId w:val="4"/>
        </w:numPr>
        <w:tabs>
          <w:tab w:val="left" w:pos="1188"/>
        </w:tabs>
        <w:spacing w:before="1"/>
        <w:ind w:left="544" w:leftChars="200" w:hanging="124" w:hangingChars="61"/>
      </w:pPr>
      <w:r>
        <w:rPr>
          <w:spacing w:val="-3"/>
        </w:rPr>
        <w:t xml:space="preserve">工程范围指所监理工程的建设内容，具体范围在专用合同条款中约定。 </w:t>
      </w:r>
    </w:p>
    <w:p>
      <w:pPr>
        <w:pStyle w:val="107"/>
        <w:numPr>
          <w:ilvl w:val="2"/>
          <w:numId w:val="4"/>
        </w:numPr>
        <w:tabs>
          <w:tab w:val="left" w:pos="1188"/>
        </w:tabs>
        <w:spacing w:before="139" w:line="364" w:lineRule="auto"/>
        <w:ind w:right="1153" w:firstLine="404"/>
      </w:pPr>
      <w:r>
        <w:rPr>
          <w:spacing w:val="-4"/>
        </w:rPr>
        <w:t>阶段范围指工程建设程序中的勘察阶段、设计阶段、施工阶段、缺陷责任期及保修阶段</w:t>
      </w:r>
      <w:r>
        <w:rPr>
          <w:spacing w:val="-3"/>
        </w:rPr>
        <w:t>中的一个或者多个阶段，具体范围在专用合同条款中约定。</w:t>
      </w:r>
    </w:p>
    <w:p>
      <w:pPr>
        <w:pStyle w:val="107"/>
        <w:numPr>
          <w:ilvl w:val="2"/>
          <w:numId w:val="4"/>
        </w:numPr>
        <w:tabs>
          <w:tab w:val="left" w:pos="1188"/>
        </w:tabs>
        <w:spacing w:line="364" w:lineRule="auto"/>
        <w:ind w:right="36" w:firstLine="404"/>
      </w:pPr>
      <w:r>
        <w:rPr>
          <w:spacing w:val="-4"/>
        </w:rPr>
        <w:t>工作范围指监理工作中的质量控制、进度控制、投资控制、合同管理、信息管理、组织</w:t>
      </w:r>
      <w:r>
        <w:rPr>
          <w:spacing w:val="-3"/>
        </w:rPr>
        <w:t>协调和安全监理、环保监理中的一项或者多项工作，具体范围在专用合同条款中约定。</w:t>
      </w:r>
    </w:p>
    <w:p>
      <w:pPr>
        <w:pStyle w:val="6"/>
        <w:numPr>
          <w:ilvl w:val="1"/>
          <w:numId w:val="4"/>
        </w:numPr>
        <w:tabs>
          <w:tab w:val="left" w:pos="801"/>
        </w:tabs>
        <w:spacing w:before="38"/>
        <w:ind w:hanging="426"/>
        <w:rPr>
          <w:sz w:val="20"/>
        </w:rPr>
      </w:pPr>
      <w:bookmarkStart w:id="115" w:name="_bookmark147"/>
      <w:bookmarkEnd w:id="115"/>
      <w:r>
        <w:rPr>
          <w:spacing w:val="-1"/>
        </w:rPr>
        <w:t>监理依据</w:t>
      </w:r>
    </w:p>
    <w:p>
      <w:pPr>
        <w:pStyle w:val="11"/>
        <w:ind w:left="658"/>
      </w:pPr>
      <w:r>
        <w:rPr>
          <w:spacing w:val="-3"/>
        </w:rPr>
        <w:t>除专用合同条款另有约定外，本工程的监理依据如下：</w:t>
      </w:r>
    </w:p>
    <w:p>
      <w:pPr>
        <w:pStyle w:val="107"/>
        <w:numPr>
          <w:ilvl w:val="0"/>
          <w:numId w:val="12"/>
        </w:numPr>
        <w:tabs>
          <w:tab w:val="left" w:pos="0"/>
        </w:tabs>
        <w:spacing w:before="141"/>
        <w:ind w:left="7" w:firstLine="632" w:firstLineChars="310"/>
      </w:pPr>
      <w:r>
        <w:rPr>
          <w:spacing w:val="-3"/>
        </w:rPr>
        <w:t>适用的法律、行政法规及部门规章；</w:t>
      </w:r>
    </w:p>
    <w:p>
      <w:pPr>
        <w:pStyle w:val="107"/>
        <w:numPr>
          <w:ilvl w:val="0"/>
          <w:numId w:val="12"/>
        </w:numPr>
        <w:spacing w:before="139"/>
        <w:ind w:left="647" w:hanging="7" w:firstLineChars="0"/>
      </w:pPr>
      <w:r>
        <w:rPr>
          <w:spacing w:val="-3"/>
        </w:rPr>
        <w:t>与工程有关的规范、标准、规程；</w:t>
      </w:r>
    </w:p>
    <w:p>
      <w:pPr>
        <w:pStyle w:val="107"/>
        <w:numPr>
          <w:ilvl w:val="0"/>
          <w:numId w:val="12"/>
        </w:numPr>
        <w:tabs>
          <w:tab w:val="left" w:pos="420"/>
        </w:tabs>
        <w:spacing w:before="139"/>
        <w:ind w:left="647" w:hanging="7" w:firstLineChars="0"/>
      </w:pPr>
      <w:r>
        <w:rPr>
          <w:spacing w:val="-3"/>
        </w:rPr>
        <w:t>工程勘察文件、设计文件及其他文件；</w:t>
      </w:r>
    </w:p>
    <w:p>
      <w:pPr>
        <w:pStyle w:val="107"/>
        <w:numPr>
          <w:ilvl w:val="0"/>
          <w:numId w:val="12"/>
        </w:numPr>
        <w:tabs>
          <w:tab w:val="left" w:pos="640"/>
        </w:tabs>
        <w:spacing w:before="139"/>
        <w:ind w:left="647" w:hanging="7" w:firstLineChars="0"/>
      </w:pPr>
      <w:r>
        <w:rPr>
          <w:spacing w:val="-3"/>
        </w:rPr>
        <w:t>本工程监理的委托合同及补充合同；</w:t>
      </w:r>
    </w:p>
    <w:p>
      <w:pPr>
        <w:pStyle w:val="107"/>
        <w:numPr>
          <w:ilvl w:val="0"/>
          <w:numId w:val="12"/>
        </w:numPr>
        <w:tabs>
          <w:tab w:val="left" w:pos="420"/>
        </w:tabs>
        <w:spacing w:before="141"/>
        <w:ind w:left="647" w:hanging="7" w:firstLineChars="0"/>
      </w:pPr>
      <w:r>
        <w:rPr>
          <w:spacing w:val="-3"/>
        </w:rPr>
        <w:t>委托人签订的勘察、设计和施工承包合同；</w:t>
      </w:r>
    </w:p>
    <w:p>
      <w:pPr>
        <w:pStyle w:val="107"/>
        <w:numPr>
          <w:ilvl w:val="0"/>
          <w:numId w:val="12"/>
        </w:numPr>
        <w:tabs>
          <w:tab w:val="left" w:pos="640"/>
        </w:tabs>
        <w:spacing w:before="139"/>
        <w:ind w:left="647" w:hanging="7" w:firstLineChars="0"/>
      </w:pPr>
      <w:r>
        <w:rPr>
          <w:spacing w:val="-3"/>
        </w:rPr>
        <w:t>合同履行中与监理服务有关的来往函件；</w:t>
      </w:r>
    </w:p>
    <w:p>
      <w:pPr>
        <w:pStyle w:val="107"/>
        <w:numPr>
          <w:ilvl w:val="0"/>
          <w:numId w:val="12"/>
        </w:numPr>
        <w:tabs>
          <w:tab w:val="left" w:pos="640"/>
        </w:tabs>
        <w:spacing w:before="139"/>
        <w:ind w:left="640" w:firstLine="0" w:firstLineChars="0"/>
      </w:pPr>
      <w:r>
        <w:rPr>
          <w:spacing w:val="-3"/>
        </w:rPr>
        <w:t>其他监理依据。</w:t>
      </w:r>
    </w:p>
    <w:p>
      <w:pPr>
        <w:pStyle w:val="11"/>
        <w:rPr>
          <w:sz w:val="20"/>
        </w:rPr>
      </w:pPr>
    </w:p>
    <w:p>
      <w:pPr>
        <w:pStyle w:val="6"/>
        <w:numPr>
          <w:ilvl w:val="1"/>
          <w:numId w:val="4"/>
        </w:numPr>
        <w:tabs>
          <w:tab w:val="left" w:pos="801"/>
        </w:tabs>
        <w:spacing w:before="142"/>
        <w:ind w:hanging="426"/>
        <w:rPr>
          <w:sz w:val="20"/>
        </w:rPr>
      </w:pPr>
      <w:bookmarkStart w:id="116" w:name="_bookmark148"/>
      <w:bookmarkEnd w:id="116"/>
      <w:r>
        <w:rPr>
          <w:spacing w:val="-1"/>
        </w:rPr>
        <w:t>监理内容</w:t>
      </w:r>
    </w:p>
    <w:p>
      <w:pPr>
        <w:pStyle w:val="11"/>
        <w:ind w:left="658"/>
      </w:pPr>
      <w:r>
        <w:t xml:space="preserve">除专用合同条款另有约定外，监理工作内容包括： </w:t>
      </w:r>
    </w:p>
    <w:p>
      <w:pPr>
        <w:pStyle w:val="107"/>
        <w:numPr>
          <w:ilvl w:val="0"/>
          <w:numId w:val="13"/>
        </w:numPr>
        <w:tabs>
          <w:tab w:val="left" w:pos="220"/>
          <w:tab w:val="clear" w:pos="-420"/>
        </w:tabs>
        <w:spacing w:before="139" w:line="367" w:lineRule="auto"/>
        <w:ind w:right="1149" w:firstLine="396"/>
      </w:pPr>
      <w:r>
        <w:rPr>
          <w:spacing w:val="-6"/>
        </w:rPr>
        <w:t xml:space="preserve">收到工程设计文件后编制监理规划，并在第一次工地会议 </w:t>
      </w:r>
      <w:r>
        <w:t>7</w:t>
      </w:r>
      <w:r>
        <w:rPr>
          <w:spacing w:val="-9"/>
        </w:rPr>
        <w:t xml:space="preserve"> 天前报委托人。根据有关规</w:t>
      </w:r>
      <w:r>
        <w:rPr>
          <w:spacing w:val="-3"/>
        </w:rPr>
        <w:t>定和监理工作需要，编制监理实施细则；</w:t>
      </w:r>
    </w:p>
    <w:p>
      <w:pPr>
        <w:pStyle w:val="107"/>
        <w:numPr>
          <w:ilvl w:val="0"/>
          <w:numId w:val="13"/>
        </w:numPr>
        <w:tabs>
          <w:tab w:val="left" w:pos="420"/>
          <w:tab w:val="clear" w:pos="-420"/>
        </w:tabs>
        <w:spacing w:line="264" w:lineRule="exact"/>
        <w:ind w:left="-200" w:firstLine="199" w:firstLineChars="98"/>
        <w:jc w:val="left"/>
      </w:pPr>
      <w:r>
        <w:rPr>
          <w:spacing w:val="-3"/>
        </w:rPr>
        <w:t>熟悉工程设计文件，并参加由委托人主持的图纸会审和设计交底会议；</w:t>
      </w:r>
    </w:p>
    <w:p>
      <w:pPr>
        <w:pStyle w:val="107"/>
        <w:numPr>
          <w:ilvl w:val="0"/>
          <w:numId w:val="13"/>
        </w:numPr>
        <w:tabs>
          <w:tab w:val="left" w:pos="420"/>
          <w:tab w:val="clear" w:pos="-420"/>
        </w:tabs>
        <w:spacing w:before="139"/>
        <w:ind w:left="543" w:hanging="543" w:hangingChars="289"/>
      </w:pPr>
      <w:r>
        <w:rPr>
          <w:spacing w:val="-11"/>
        </w:rPr>
        <w:t>参加由委托人主持的第一次工地会议；主持监理例会并根据工程需要主持或参加专题会议；</w:t>
      </w:r>
    </w:p>
    <w:p>
      <w:pPr>
        <w:pStyle w:val="107"/>
        <w:numPr>
          <w:ilvl w:val="0"/>
          <w:numId w:val="13"/>
        </w:numPr>
        <w:tabs>
          <w:tab w:val="left" w:pos="420"/>
          <w:tab w:val="clear" w:pos="-420"/>
        </w:tabs>
        <w:spacing w:before="139" w:line="364" w:lineRule="auto"/>
        <w:ind w:right="1151" w:firstLine="180" w:firstLineChars="91"/>
      </w:pPr>
      <w:r>
        <w:rPr>
          <w:spacing w:val="-6"/>
        </w:rPr>
        <w:t xml:space="preserve">审查施工承包人提交的施工组织设计，重点审查其中的质量安全技术措施、专项施工方 </w:t>
      </w:r>
      <w:r>
        <w:rPr>
          <w:spacing w:val="-3"/>
        </w:rPr>
        <w:t>案与工程建设强制性标准的符合性；</w:t>
      </w:r>
    </w:p>
    <w:p>
      <w:pPr>
        <w:pStyle w:val="107"/>
        <w:numPr>
          <w:ilvl w:val="0"/>
          <w:numId w:val="13"/>
        </w:numPr>
        <w:tabs>
          <w:tab w:val="left" w:pos="420"/>
          <w:tab w:val="clear" w:pos="-420"/>
        </w:tabs>
        <w:ind w:left="765" w:hanging="765" w:hangingChars="375"/>
      </w:pPr>
      <w:r>
        <w:rPr>
          <w:spacing w:val="-3"/>
        </w:rPr>
        <w:t>检查施工承包人工程质量、安全生产管理制度及组织机构和人员资格；</w:t>
      </w:r>
    </w:p>
    <w:p>
      <w:pPr>
        <w:pStyle w:val="107"/>
        <w:numPr>
          <w:ilvl w:val="0"/>
          <w:numId w:val="13"/>
        </w:numPr>
        <w:tabs>
          <w:tab w:val="left" w:pos="420"/>
          <w:tab w:val="clear" w:pos="-420"/>
        </w:tabs>
        <w:spacing w:before="139"/>
        <w:ind w:left="347" w:hanging="346" w:hangingChars="170"/>
      </w:pPr>
      <w:r>
        <w:rPr>
          <w:spacing w:val="-3"/>
        </w:rPr>
        <w:t>检查施工承包人专职安全生产管理人员的配备情况；</w:t>
      </w:r>
    </w:p>
    <w:p>
      <w:pPr>
        <w:pStyle w:val="107"/>
        <w:numPr>
          <w:ilvl w:val="0"/>
          <w:numId w:val="13"/>
        </w:numPr>
        <w:tabs>
          <w:tab w:val="left" w:pos="420"/>
          <w:tab w:val="clear" w:pos="-420"/>
        </w:tabs>
        <w:spacing w:before="139"/>
        <w:ind w:left="765" w:hanging="765" w:hangingChars="375"/>
      </w:pPr>
      <w:r>
        <w:rPr>
          <w:spacing w:val="-3"/>
        </w:rPr>
        <w:t>审查施工承包人提交的施工进度计划，核查承包人对施工进度计划的调整；</w:t>
      </w:r>
    </w:p>
    <w:p>
      <w:pPr>
        <w:pStyle w:val="107"/>
        <w:numPr>
          <w:ilvl w:val="0"/>
          <w:numId w:val="13"/>
        </w:numPr>
        <w:tabs>
          <w:tab w:val="left" w:pos="420"/>
          <w:tab w:val="clear" w:pos="-420"/>
        </w:tabs>
        <w:spacing w:before="139"/>
        <w:ind w:left="765" w:hanging="765" w:hangingChars="375"/>
      </w:pPr>
      <w:r>
        <w:rPr>
          <w:spacing w:val="-3"/>
        </w:rPr>
        <w:t>检查施工承包人的试验室；</w:t>
      </w:r>
    </w:p>
    <w:p>
      <w:pPr>
        <w:pStyle w:val="107"/>
        <w:numPr>
          <w:ilvl w:val="0"/>
          <w:numId w:val="13"/>
        </w:numPr>
        <w:tabs>
          <w:tab w:val="left" w:pos="420"/>
          <w:tab w:val="clear" w:pos="-420"/>
        </w:tabs>
        <w:spacing w:before="142"/>
        <w:ind w:left="765" w:hanging="765" w:hangingChars="375"/>
      </w:pPr>
      <w:r>
        <w:rPr>
          <w:spacing w:val="-3"/>
        </w:rPr>
        <w:t>审核施工分包人资质条件；</w:t>
      </w:r>
    </w:p>
    <w:p>
      <w:pPr>
        <w:pStyle w:val="107"/>
        <w:numPr>
          <w:ilvl w:val="0"/>
          <w:numId w:val="13"/>
        </w:numPr>
        <w:tabs>
          <w:tab w:val="left" w:pos="420"/>
          <w:tab w:val="clear" w:pos="-420"/>
        </w:tabs>
        <w:spacing w:before="139"/>
        <w:ind w:left="871" w:hanging="871" w:hangingChars="427"/>
      </w:pPr>
      <w:r>
        <w:rPr>
          <w:spacing w:val="-3"/>
        </w:rPr>
        <w:t>查验施工承包人的施工测量放线成果；</w:t>
      </w:r>
    </w:p>
    <w:p>
      <w:pPr>
        <w:pStyle w:val="107"/>
        <w:numPr>
          <w:ilvl w:val="0"/>
          <w:numId w:val="13"/>
        </w:numPr>
        <w:tabs>
          <w:tab w:val="left" w:pos="0"/>
          <w:tab w:val="clear" w:pos="-420"/>
        </w:tabs>
        <w:spacing w:before="138"/>
        <w:ind w:left="0" w:hanging="10" w:firstLineChars="0"/>
      </w:pPr>
      <w:r>
        <w:rPr>
          <w:spacing w:val="-3"/>
        </w:rPr>
        <w:t>审查工程开工条件，对条件具备的签发开工令；</w:t>
      </w:r>
    </w:p>
    <w:p>
      <w:pPr>
        <w:pStyle w:val="107"/>
        <w:numPr>
          <w:ilvl w:val="0"/>
          <w:numId w:val="13"/>
        </w:numPr>
        <w:tabs>
          <w:tab w:val="left" w:pos="420"/>
          <w:tab w:val="left" w:pos="9240"/>
          <w:tab w:val="clear" w:pos="-420"/>
        </w:tabs>
        <w:spacing w:before="140" w:line="364" w:lineRule="auto"/>
        <w:ind w:right="36" w:firstLine="181" w:firstLineChars="90"/>
      </w:pPr>
      <w:r>
        <w:rPr>
          <w:spacing w:val="-4"/>
        </w:rPr>
        <w:t>审查施工承包人报送的工程材料、构配件、设备质量证明文件的有效性和符合性，并按</w:t>
      </w:r>
      <w:r>
        <w:rPr>
          <w:spacing w:val="-3"/>
        </w:rPr>
        <w:t>规定对用于工程的材料采取平行检验或见证取样方式进行抽检；</w:t>
      </w:r>
    </w:p>
    <w:p>
      <w:pPr>
        <w:pStyle w:val="107"/>
        <w:numPr>
          <w:ilvl w:val="0"/>
          <w:numId w:val="13"/>
        </w:numPr>
        <w:tabs>
          <w:tab w:val="left" w:pos="420"/>
          <w:tab w:val="clear" w:pos="-420"/>
        </w:tabs>
        <w:spacing w:line="364" w:lineRule="auto"/>
        <w:ind w:left="0" w:right="36" w:firstLine="0" w:firstLineChars="0"/>
      </w:pPr>
      <w:r>
        <w:rPr>
          <w:spacing w:val="-9"/>
        </w:rPr>
        <w:t xml:space="preserve">审核施工承包人提交的工程款支付申请，签发或出具工程款支付证书，并报委托人审核 </w:t>
      </w:r>
      <w:r>
        <w:rPr>
          <w:spacing w:val="-8"/>
        </w:rPr>
        <w:t>、批准；</w:t>
      </w:r>
    </w:p>
    <w:p>
      <w:pPr>
        <w:pStyle w:val="107"/>
        <w:numPr>
          <w:ilvl w:val="0"/>
          <w:numId w:val="13"/>
        </w:numPr>
        <w:tabs>
          <w:tab w:val="left" w:pos="420"/>
          <w:tab w:val="clear" w:pos="-420"/>
        </w:tabs>
        <w:spacing w:line="364" w:lineRule="auto"/>
        <w:ind w:left="0" w:right="36" w:firstLine="0" w:firstLineChars="0"/>
      </w:pPr>
      <w:r>
        <w:rPr>
          <w:spacing w:val="-4"/>
        </w:rPr>
        <w:t>在巡视、旁站和检验过程中，发现工程质量、施工安全存在事故隐患的，要求施工承包</w:t>
      </w:r>
      <w:r>
        <w:rPr>
          <w:spacing w:val="-3"/>
        </w:rPr>
        <w:t>人整改并报委托人；</w:t>
      </w:r>
    </w:p>
    <w:p>
      <w:pPr>
        <w:pStyle w:val="107"/>
        <w:numPr>
          <w:ilvl w:val="0"/>
          <w:numId w:val="13"/>
        </w:numPr>
        <w:tabs>
          <w:tab w:val="left" w:pos="420"/>
          <w:tab w:val="clear" w:pos="-420"/>
        </w:tabs>
        <w:spacing w:line="267" w:lineRule="exact"/>
        <w:ind w:left="12" w:hanging="12" w:hangingChars="6"/>
      </w:pPr>
      <w:r>
        <w:rPr>
          <w:spacing w:val="-3"/>
        </w:rPr>
        <w:t>经委托人同意，签发工程暂停令和复工令；</w:t>
      </w:r>
    </w:p>
    <w:p>
      <w:pPr>
        <w:pStyle w:val="107"/>
        <w:numPr>
          <w:ilvl w:val="0"/>
          <w:numId w:val="13"/>
        </w:numPr>
        <w:tabs>
          <w:tab w:val="left" w:pos="420"/>
          <w:tab w:val="clear" w:pos="-420"/>
        </w:tabs>
        <w:spacing w:before="140"/>
        <w:ind w:left="12" w:hanging="12" w:hangingChars="6"/>
      </w:pPr>
      <w:r>
        <w:rPr>
          <w:spacing w:val="-3"/>
        </w:rPr>
        <w:t>审查施工承包人提交的采用新材料、新工艺、新技术、新设备的论证材料及相关验收标</w:t>
      </w:r>
      <w:r>
        <w:t xml:space="preserve">准； </w:t>
      </w:r>
    </w:p>
    <w:p>
      <w:pPr>
        <w:pStyle w:val="107"/>
        <w:numPr>
          <w:ilvl w:val="0"/>
          <w:numId w:val="13"/>
        </w:numPr>
        <w:tabs>
          <w:tab w:val="left" w:pos="420"/>
          <w:tab w:val="clear" w:pos="-420"/>
        </w:tabs>
        <w:spacing w:before="139"/>
        <w:ind w:left="12" w:hanging="12" w:hangingChars="6"/>
      </w:pPr>
      <w:r>
        <w:rPr>
          <w:spacing w:val="-3"/>
        </w:rPr>
        <w:t>验收隐蔽工程、分部分项工程；</w:t>
      </w:r>
    </w:p>
    <w:p>
      <w:pPr>
        <w:pStyle w:val="107"/>
        <w:numPr>
          <w:ilvl w:val="0"/>
          <w:numId w:val="13"/>
        </w:numPr>
        <w:tabs>
          <w:tab w:val="left" w:pos="420"/>
          <w:tab w:val="clear" w:pos="-420"/>
        </w:tabs>
        <w:spacing w:before="139" w:line="364" w:lineRule="auto"/>
        <w:ind w:left="0" w:right="36" w:firstLine="0" w:firstLineChars="0"/>
      </w:pPr>
      <w:r>
        <w:rPr>
          <w:spacing w:val="-4"/>
        </w:rPr>
        <w:t>审查施工承包人提交的工程变更申请，协调处理施工进度调整、费用索赔、合同争议等</w:t>
      </w:r>
      <w:r>
        <w:rPr>
          <w:spacing w:val="-1"/>
        </w:rPr>
        <w:t>事项；</w:t>
      </w:r>
    </w:p>
    <w:p>
      <w:pPr>
        <w:pStyle w:val="107"/>
        <w:numPr>
          <w:ilvl w:val="0"/>
          <w:numId w:val="13"/>
        </w:numPr>
        <w:tabs>
          <w:tab w:val="left" w:pos="420"/>
          <w:tab w:val="clear" w:pos="-420"/>
        </w:tabs>
        <w:spacing w:before="1"/>
        <w:ind w:left="12" w:hanging="12" w:hangingChars="6"/>
      </w:pPr>
      <w:r>
        <w:rPr>
          <w:spacing w:val="-3"/>
        </w:rPr>
        <w:t>审查施工承包人提交的竣工验收申请，编写工程质量评估报告；</w:t>
      </w:r>
    </w:p>
    <w:p>
      <w:pPr>
        <w:pStyle w:val="107"/>
        <w:numPr>
          <w:ilvl w:val="0"/>
          <w:numId w:val="13"/>
        </w:numPr>
        <w:tabs>
          <w:tab w:val="left" w:pos="420"/>
          <w:tab w:val="clear" w:pos="-420"/>
        </w:tabs>
        <w:spacing w:before="139"/>
        <w:ind w:left="12" w:hanging="12" w:hangingChars="6"/>
      </w:pPr>
      <w:r>
        <w:rPr>
          <w:spacing w:val="-3"/>
        </w:rPr>
        <w:t>参加工程竣工验收，签署竣工验收意见；</w:t>
      </w:r>
    </w:p>
    <w:p>
      <w:pPr>
        <w:pStyle w:val="107"/>
        <w:numPr>
          <w:ilvl w:val="0"/>
          <w:numId w:val="13"/>
        </w:numPr>
        <w:tabs>
          <w:tab w:val="left" w:pos="420"/>
          <w:tab w:val="clear" w:pos="-420"/>
        </w:tabs>
        <w:spacing w:before="138"/>
        <w:ind w:left="12" w:hanging="12" w:hangingChars="6"/>
      </w:pPr>
      <w:r>
        <w:rPr>
          <w:spacing w:val="-3"/>
        </w:rPr>
        <w:t>审查施工承包人提交的竣工结算申请并报委托人；</w:t>
      </w:r>
    </w:p>
    <w:p>
      <w:pPr>
        <w:pStyle w:val="107"/>
        <w:numPr>
          <w:ilvl w:val="0"/>
          <w:numId w:val="13"/>
        </w:numPr>
        <w:tabs>
          <w:tab w:val="left" w:pos="420"/>
          <w:tab w:val="clear" w:pos="-420"/>
        </w:tabs>
        <w:spacing w:before="139"/>
        <w:ind w:left="12" w:hanging="12" w:hangingChars="6"/>
      </w:pPr>
      <w:r>
        <w:rPr>
          <w:spacing w:val="-3"/>
        </w:rPr>
        <w:t>编制、整理工程监理归档文件并报委托人。</w:t>
      </w:r>
    </w:p>
    <w:p>
      <w:pPr>
        <w:pStyle w:val="11"/>
        <w:rPr>
          <w:sz w:val="20"/>
        </w:rPr>
      </w:pPr>
    </w:p>
    <w:p>
      <w:pPr>
        <w:pStyle w:val="6"/>
        <w:numPr>
          <w:ilvl w:val="1"/>
          <w:numId w:val="4"/>
        </w:numPr>
        <w:tabs>
          <w:tab w:val="left" w:pos="801"/>
        </w:tabs>
        <w:spacing w:before="145"/>
        <w:ind w:hanging="426"/>
      </w:pPr>
      <w:bookmarkStart w:id="117" w:name="_bookmark149"/>
      <w:bookmarkEnd w:id="117"/>
      <w:r>
        <w:t>监理文件要求</w:t>
      </w:r>
    </w:p>
    <w:p>
      <w:pPr>
        <w:pStyle w:val="11"/>
        <w:spacing w:before="9"/>
        <w:rPr>
          <w:b/>
          <w:sz w:val="20"/>
        </w:rPr>
      </w:pPr>
    </w:p>
    <w:p>
      <w:pPr>
        <w:pStyle w:val="107"/>
        <w:numPr>
          <w:ilvl w:val="2"/>
          <w:numId w:val="4"/>
        </w:numPr>
        <w:tabs>
          <w:tab w:val="left" w:pos="1188"/>
        </w:tabs>
        <w:spacing w:line="364" w:lineRule="auto"/>
        <w:ind w:right="36" w:firstLine="404"/>
      </w:pPr>
      <w:r>
        <w:rPr>
          <w:spacing w:val="-4"/>
        </w:rPr>
        <w:t>监理文件的编制应符合法律、规范标准的强制性规定和委托人要求，相关的监理依据应</w:t>
      </w:r>
      <w:r>
        <w:rPr>
          <w:spacing w:val="-3"/>
        </w:rPr>
        <w:t>当完整准确，文件内容和相应数据应当真实可靠。</w:t>
      </w:r>
    </w:p>
    <w:p>
      <w:pPr>
        <w:pStyle w:val="107"/>
        <w:numPr>
          <w:ilvl w:val="2"/>
          <w:numId w:val="4"/>
        </w:numPr>
        <w:tabs>
          <w:tab w:val="left" w:pos="1188"/>
        </w:tabs>
        <w:spacing w:line="364" w:lineRule="auto"/>
        <w:ind w:right="36" w:firstLine="404"/>
      </w:pPr>
      <w:r>
        <w:rPr>
          <w:spacing w:val="-4"/>
        </w:rPr>
        <w:t xml:space="preserve">监理文件的深度应满足本阶段相应监理工作的规定要求，满足委托人的下步工作需要， </w:t>
      </w:r>
      <w:r>
        <w:rPr>
          <w:spacing w:val="-3"/>
        </w:rPr>
        <w:t>并应符合国家和行业现行规定。</w:t>
      </w:r>
    </w:p>
    <w:p>
      <w:pPr>
        <w:pStyle w:val="107"/>
        <w:numPr>
          <w:ilvl w:val="2"/>
          <w:numId w:val="4"/>
        </w:numPr>
        <w:tabs>
          <w:tab w:val="left" w:pos="1293"/>
        </w:tabs>
        <w:spacing w:line="367" w:lineRule="auto"/>
        <w:ind w:right="36" w:firstLine="404"/>
      </w:pPr>
      <w:r>
        <w:rPr>
          <w:spacing w:val="-4"/>
        </w:rPr>
        <w:t>本工程监理文件的具体类别、编制要求、编制内容、提交时间和份数等，在专用合同条</w:t>
      </w:r>
      <w:r>
        <w:rPr>
          <w:spacing w:val="-2"/>
        </w:rPr>
        <w:t>款中约定。</w:t>
      </w:r>
    </w:p>
    <w:p>
      <w:pPr>
        <w:pStyle w:val="11"/>
        <w:spacing w:before="7"/>
        <w:rPr>
          <w:sz w:val="19"/>
        </w:rPr>
      </w:pPr>
    </w:p>
    <w:p>
      <w:pPr>
        <w:pStyle w:val="4"/>
        <w:numPr>
          <w:ilvl w:val="0"/>
          <w:numId w:val="4"/>
        </w:numPr>
        <w:tabs>
          <w:tab w:val="left" w:pos="561"/>
        </w:tabs>
        <w:spacing w:before="1"/>
        <w:ind w:left="560" w:hanging="323"/>
        <w:jc w:val="left"/>
      </w:pPr>
      <w:bookmarkStart w:id="118" w:name="_bookmark150"/>
      <w:bookmarkEnd w:id="118"/>
      <w:r>
        <w:t>开始监理和完成监理</w:t>
      </w:r>
    </w:p>
    <w:p>
      <w:pPr>
        <w:pStyle w:val="6"/>
        <w:numPr>
          <w:ilvl w:val="1"/>
          <w:numId w:val="4"/>
        </w:numPr>
        <w:tabs>
          <w:tab w:val="left" w:pos="801"/>
        </w:tabs>
        <w:spacing w:before="264"/>
        <w:ind w:hanging="426"/>
      </w:pPr>
      <w:bookmarkStart w:id="119" w:name="_bookmark151"/>
      <w:bookmarkEnd w:id="119"/>
      <w:r>
        <w:rPr>
          <w:spacing w:val="-1"/>
        </w:rPr>
        <w:t>开始监理</w:t>
      </w:r>
    </w:p>
    <w:p>
      <w:pPr>
        <w:pStyle w:val="11"/>
        <w:spacing w:before="9"/>
        <w:rPr>
          <w:b/>
          <w:sz w:val="20"/>
        </w:rPr>
      </w:pPr>
    </w:p>
    <w:p>
      <w:pPr>
        <w:pStyle w:val="107"/>
        <w:numPr>
          <w:ilvl w:val="2"/>
          <w:numId w:val="4"/>
        </w:numPr>
        <w:tabs>
          <w:tab w:val="left" w:pos="1269"/>
        </w:tabs>
        <w:spacing w:line="364" w:lineRule="auto"/>
        <w:ind w:right="36" w:firstLine="404"/>
      </w:pPr>
      <w:r>
        <w:rPr>
          <w:spacing w:val="-4"/>
        </w:rPr>
        <w:t xml:space="preserve">符合专用合同条款约定的开始监理条件的，委托人应提前 </w:t>
      </w:r>
      <w:r>
        <w:t>7</w:t>
      </w:r>
      <w:r>
        <w:rPr>
          <w:spacing w:val="-3"/>
        </w:rPr>
        <w:t xml:space="preserve"> 天向监理人发出开始监理通知。监理服务期限自开始监理通知中载明的开始监理日期起计算。</w:t>
      </w:r>
    </w:p>
    <w:p>
      <w:pPr>
        <w:pStyle w:val="107"/>
        <w:numPr>
          <w:ilvl w:val="2"/>
          <w:numId w:val="4"/>
        </w:numPr>
        <w:tabs>
          <w:tab w:val="left" w:pos="1238"/>
        </w:tabs>
        <w:spacing w:line="364" w:lineRule="auto"/>
        <w:ind w:right="36" w:firstLine="396"/>
      </w:pPr>
      <w:r>
        <w:rPr>
          <w:spacing w:val="-6"/>
        </w:rPr>
        <w:t xml:space="preserve">除专用合同条款另有约定外，因委托人原因造成合同签订之日起 </w:t>
      </w:r>
      <w:r>
        <w:t>90</w:t>
      </w:r>
      <w:r>
        <w:rPr>
          <w:spacing w:val="-8"/>
        </w:rPr>
        <w:t xml:space="preserve"> 天内未能发出开始监</w:t>
      </w:r>
      <w:r>
        <w:rPr>
          <w:spacing w:val="-14"/>
        </w:rPr>
        <w:t>理通知的，监理人有权提出价格调整要求，或者解除合同。委托人应当承担由此增加的费用和</w:t>
      </w:r>
      <w:r>
        <w:rPr>
          <w:spacing w:val="-3"/>
        </w:rPr>
        <w:t>（</w:t>
      </w:r>
      <w:r>
        <w:t xml:space="preserve">或） </w:t>
      </w:r>
      <w:r>
        <w:rPr>
          <w:spacing w:val="-2"/>
        </w:rPr>
        <w:t>周期延误。</w:t>
      </w:r>
    </w:p>
    <w:p>
      <w:pPr>
        <w:pStyle w:val="11"/>
        <w:spacing w:before="1"/>
        <w:rPr>
          <w:sz w:val="20"/>
        </w:rPr>
      </w:pPr>
    </w:p>
    <w:p>
      <w:pPr>
        <w:pStyle w:val="6"/>
        <w:numPr>
          <w:ilvl w:val="1"/>
          <w:numId w:val="4"/>
        </w:numPr>
        <w:tabs>
          <w:tab w:val="left" w:pos="801"/>
        </w:tabs>
        <w:ind w:hanging="426"/>
        <w:rPr>
          <w:sz w:val="20"/>
        </w:rPr>
      </w:pPr>
      <w:bookmarkStart w:id="120" w:name="_bookmark152"/>
      <w:bookmarkEnd w:id="120"/>
      <w:r>
        <w:t>监理周期延误</w:t>
      </w:r>
    </w:p>
    <w:p>
      <w:pPr>
        <w:pStyle w:val="11"/>
        <w:spacing w:line="364" w:lineRule="auto"/>
        <w:ind w:left="238" w:right="36" w:firstLine="420"/>
      </w:pPr>
      <w:r>
        <w:rPr>
          <w:spacing w:val="-4"/>
        </w:rPr>
        <w:t>在履行合同过程中，由于下列原因造成监理服务期限延误且属于非监理人责任的，委托人应当</w:t>
      </w:r>
      <w:r>
        <w:rPr>
          <w:spacing w:val="-3"/>
        </w:rPr>
        <w:t>延长监理服务期限并增加监理报酬，具体方法在专用合同条款中约定。</w:t>
      </w:r>
    </w:p>
    <w:p>
      <w:pPr>
        <w:pStyle w:val="107"/>
        <w:numPr>
          <w:ilvl w:val="0"/>
          <w:numId w:val="14"/>
        </w:numPr>
        <w:tabs>
          <w:tab w:val="left" w:pos="840"/>
        </w:tabs>
        <w:spacing w:before="1"/>
        <w:ind w:left="419" w:leftChars="197" w:hanging="5" w:firstLineChars="0"/>
      </w:pPr>
      <w:r>
        <w:rPr>
          <w:spacing w:val="-3"/>
        </w:rPr>
        <w:t>合同变更；</w:t>
      </w:r>
    </w:p>
    <w:p>
      <w:pPr>
        <w:pStyle w:val="107"/>
        <w:numPr>
          <w:ilvl w:val="0"/>
          <w:numId w:val="14"/>
        </w:numPr>
        <w:tabs>
          <w:tab w:val="left" w:pos="840"/>
        </w:tabs>
        <w:spacing w:before="139"/>
        <w:ind w:left="420" w:firstLine="0" w:firstLineChars="0"/>
      </w:pPr>
      <w:r>
        <w:rPr>
          <w:spacing w:val="-3"/>
        </w:rPr>
        <w:t xml:space="preserve">因委托人原因导致的监理工作暂停； </w:t>
      </w:r>
    </w:p>
    <w:p>
      <w:pPr>
        <w:pStyle w:val="107"/>
        <w:numPr>
          <w:ilvl w:val="0"/>
          <w:numId w:val="14"/>
        </w:numPr>
        <w:tabs>
          <w:tab w:val="left" w:pos="840"/>
        </w:tabs>
        <w:spacing w:before="138"/>
        <w:ind w:left="420" w:leftChars="200" w:firstLine="0" w:firstLineChars="0"/>
      </w:pPr>
      <w:r>
        <w:rPr>
          <w:spacing w:val="-3"/>
        </w:rPr>
        <w:t>未按合同约定及时支付监理报酬；</w:t>
      </w:r>
    </w:p>
    <w:p>
      <w:pPr>
        <w:pStyle w:val="107"/>
        <w:numPr>
          <w:ilvl w:val="0"/>
          <w:numId w:val="14"/>
        </w:numPr>
        <w:tabs>
          <w:tab w:val="left" w:pos="840"/>
        </w:tabs>
        <w:spacing w:before="139"/>
        <w:ind w:left="420" w:firstLine="0" w:firstLineChars="0"/>
      </w:pPr>
      <w:r>
        <w:rPr>
          <w:spacing w:val="-3"/>
        </w:rPr>
        <w:t>未及时履行合同约定的相关义务；</w:t>
      </w:r>
    </w:p>
    <w:p>
      <w:pPr>
        <w:pStyle w:val="107"/>
        <w:numPr>
          <w:ilvl w:val="0"/>
          <w:numId w:val="14"/>
        </w:numPr>
        <w:tabs>
          <w:tab w:val="left" w:pos="840"/>
        </w:tabs>
        <w:spacing w:before="139"/>
        <w:ind w:left="420" w:firstLine="0" w:firstLineChars="0"/>
      </w:pPr>
      <w:r>
        <w:rPr>
          <w:spacing w:val="-3"/>
        </w:rPr>
        <w:t>由于承包人延误、行政管理造成的监理服务期延误；造成监理服务期限延误的其他原因。</w:t>
      </w:r>
    </w:p>
    <w:p>
      <w:pPr>
        <w:pStyle w:val="11"/>
        <w:rPr>
          <w:sz w:val="20"/>
        </w:rPr>
      </w:pPr>
    </w:p>
    <w:p>
      <w:pPr>
        <w:pStyle w:val="6"/>
        <w:numPr>
          <w:ilvl w:val="1"/>
          <w:numId w:val="4"/>
        </w:numPr>
        <w:tabs>
          <w:tab w:val="left" w:pos="1012"/>
        </w:tabs>
        <w:spacing w:before="142"/>
        <w:ind w:left="1011" w:hanging="426"/>
        <w:rPr>
          <w:sz w:val="20"/>
        </w:rPr>
      </w:pPr>
      <w:bookmarkStart w:id="121" w:name="_bookmark153"/>
      <w:bookmarkEnd w:id="121"/>
      <w:r>
        <w:t>完成监理</w:t>
      </w:r>
    </w:p>
    <w:p>
      <w:pPr>
        <w:pStyle w:val="107"/>
        <w:numPr>
          <w:ilvl w:val="2"/>
          <w:numId w:val="4"/>
        </w:numPr>
        <w:tabs>
          <w:tab w:val="left" w:pos="1188"/>
        </w:tabs>
        <w:spacing w:line="364" w:lineRule="auto"/>
        <w:ind w:right="36" w:firstLine="404"/>
      </w:pPr>
      <w:r>
        <w:rPr>
          <w:spacing w:val="-4"/>
        </w:rPr>
        <w:t>监理人应当根据法律、规范标准、合同约定和委托人要求实施和完成监理，并编制和移</w:t>
      </w:r>
      <w:r>
        <w:rPr>
          <w:spacing w:val="-3"/>
        </w:rPr>
        <w:t>交监理文件。</w:t>
      </w:r>
    </w:p>
    <w:p>
      <w:pPr>
        <w:pStyle w:val="107"/>
        <w:numPr>
          <w:ilvl w:val="2"/>
          <w:numId w:val="4"/>
        </w:numPr>
        <w:tabs>
          <w:tab w:val="left" w:pos="1188"/>
        </w:tabs>
        <w:spacing w:line="364" w:lineRule="auto"/>
        <w:ind w:right="36" w:firstLine="404"/>
      </w:pPr>
      <w:r>
        <w:rPr>
          <w:spacing w:val="-4"/>
        </w:rPr>
        <w:t>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酬的，所增</w:t>
      </w:r>
      <w:r>
        <w:rPr>
          <w:spacing w:val="-3"/>
        </w:rPr>
        <w:t>费用由委托人承担。</w:t>
      </w:r>
    </w:p>
    <w:p>
      <w:pPr>
        <w:pStyle w:val="107"/>
        <w:numPr>
          <w:ilvl w:val="2"/>
          <w:numId w:val="4"/>
        </w:numPr>
        <w:tabs>
          <w:tab w:val="left" w:pos="1188"/>
        </w:tabs>
        <w:spacing w:line="367" w:lineRule="auto"/>
        <w:ind w:right="36" w:firstLine="404"/>
      </w:pPr>
      <w:r>
        <w:rPr>
          <w:spacing w:val="-4"/>
        </w:rPr>
        <w:t>缺陷修复监理指缺陷责任期间，监理人对承包人修复质量缺陷进行的监理。缺陷修复监</w:t>
      </w:r>
      <w:r>
        <w:rPr>
          <w:spacing w:val="-3"/>
        </w:rPr>
        <w:t>理的责任由监理人负责。</w:t>
      </w:r>
    </w:p>
    <w:p>
      <w:pPr>
        <w:pStyle w:val="107"/>
        <w:numPr>
          <w:ilvl w:val="2"/>
          <w:numId w:val="4"/>
        </w:numPr>
        <w:tabs>
          <w:tab w:val="left" w:pos="1188"/>
        </w:tabs>
        <w:spacing w:line="364" w:lineRule="auto"/>
        <w:ind w:right="36" w:firstLine="404"/>
      </w:pPr>
      <w:r>
        <w:rPr>
          <w:spacing w:val="-4"/>
        </w:rPr>
        <w:t>委托人应当及时接收监理人提交的监理文件。如无正当理由拒收的，视为委托人已经接收监理文件。接收监理文件时，委托人应向监理人出具文件签收凭证，凭证内容包括文件名称、文</w:t>
      </w:r>
      <w:r>
        <w:rPr>
          <w:spacing w:val="-3"/>
        </w:rPr>
        <w:t xml:space="preserve">件内容、文件形式、份数、提交和接收日期、提交人与接收人的亲笔签名等。 </w:t>
      </w:r>
    </w:p>
    <w:p>
      <w:pPr>
        <w:pStyle w:val="107"/>
        <w:numPr>
          <w:ilvl w:val="2"/>
          <w:numId w:val="4"/>
        </w:numPr>
        <w:tabs>
          <w:tab w:val="left" w:pos="1188"/>
        </w:tabs>
        <w:spacing w:line="364" w:lineRule="auto"/>
        <w:ind w:right="36" w:firstLine="408"/>
        <w:rPr>
          <w:sz w:val="19"/>
        </w:rPr>
      </w:pPr>
      <w:r>
        <w:rPr>
          <w:spacing w:val="-3"/>
        </w:rPr>
        <w:t>除专用合同条款另有约定外，监理文件包括纸质文件和电子文件两种形式，两者若有不</w:t>
      </w:r>
      <w:r>
        <w:rPr>
          <w:spacing w:val="-16"/>
        </w:rPr>
        <w:t>一致时，应以纸质文件为准。纸质文件应当加盖单位章和总监理工程师的注册执业印章，具体份数、</w:t>
      </w:r>
      <w:r>
        <w:rPr>
          <w:spacing w:val="-6"/>
        </w:rPr>
        <w:t>纸幅、装订格式等要求，应在专用合同条款中约定；电子文件应使用光盘和</w:t>
      </w:r>
      <w:r>
        <w:t>U</w:t>
      </w:r>
      <w:r>
        <w:rPr>
          <w:spacing w:val="-9"/>
        </w:rPr>
        <w:t xml:space="preserve"> 盘分别贮存。</w:t>
      </w:r>
    </w:p>
    <w:p>
      <w:pPr>
        <w:pStyle w:val="4"/>
        <w:numPr>
          <w:ilvl w:val="0"/>
          <w:numId w:val="4"/>
        </w:numPr>
        <w:tabs>
          <w:tab w:val="left" w:pos="561"/>
        </w:tabs>
        <w:spacing w:before="1"/>
        <w:ind w:left="560" w:hanging="323"/>
        <w:jc w:val="left"/>
      </w:pPr>
      <w:bookmarkStart w:id="122" w:name="_bookmark154"/>
      <w:bookmarkEnd w:id="122"/>
      <w:r>
        <w:t>监理责任与保险</w:t>
      </w:r>
    </w:p>
    <w:p>
      <w:pPr>
        <w:pStyle w:val="6"/>
        <w:numPr>
          <w:ilvl w:val="1"/>
          <w:numId w:val="4"/>
        </w:numPr>
        <w:tabs>
          <w:tab w:val="left" w:pos="801"/>
        </w:tabs>
        <w:spacing w:before="266"/>
        <w:ind w:hanging="426"/>
        <w:rPr>
          <w:sz w:val="20"/>
        </w:rPr>
      </w:pPr>
      <w:bookmarkStart w:id="123" w:name="_bookmark155"/>
      <w:bookmarkEnd w:id="123"/>
      <w:r>
        <w:t>监理责任主体</w:t>
      </w:r>
    </w:p>
    <w:p>
      <w:pPr>
        <w:pStyle w:val="107"/>
        <w:numPr>
          <w:ilvl w:val="2"/>
          <w:numId w:val="4"/>
        </w:numPr>
        <w:tabs>
          <w:tab w:val="left" w:pos="1188"/>
        </w:tabs>
        <w:spacing w:before="1" w:line="364" w:lineRule="auto"/>
        <w:ind w:right="36" w:firstLine="404"/>
      </w:pPr>
      <w:r>
        <w:rPr>
          <w:spacing w:val="-4"/>
        </w:rPr>
        <w:t>监理人应运用一切合理的专业技术、知识技能和项目经验，按照职业道德准则和行业公</w:t>
      </w:r>
      <w:r>
        <w:rPr>
          <w:spacing w:val="-3"/>
        </w:rPr>
        <w:t>认标准尽其全部职责，勤勉、谨慎、公正地履行其在本合同项下的责任和义务。</w:t>
      </w:r>
    </w:p>
    <w:p>
      <w:pPr>
        <w:pStyle w:val="107"/>
        <w:numPr>
          <w:ilvl w:val="2"/>
          <w:numId w:val="4"/>
        </w:numPr>
        <w:tabs>
          <w:tab w:val="left" w:pos="1188"/>
        </w:tabs>
        <w:spacing w:line="364" w:lineRule="auto"/>
        <w:ind w:right="36" w:firstLine="404"/>
      </w:pPr>
      <w:r>
        <w:rPr>
          <w:spacing w:val="-4"/>
        </w:rPr>
        <w:t>监理责任为监理单位项目负责人终身责任制。总监理工程师应当按照法律法规、有关技</w:t>
      </w:r>
      <w:r>
        <w:rPr>
          <w:spacing w:val="-3"/>
        </w:rPr>
        <w:t>术标准、设计文件和工程承包合同进行监理，对施工质量承担监理责任。</w:t>
      </w:r>
    </w:p>
    <w:p>
      <w:pPr>
        <w:pStyle w:val="107"/>
        <w:numPr>
          <w:ilvl w:val="2"/>
          <w:numId w:val="4"/>
        </w:numPr>
        <w:tabs>
          <w:tab w:val="left" w:pos="1188"/>
        </w:tabs>
        <w:spacing w:line="364" w:lineRule="auto"/>
        <w:ind w:right="36" w:firstLine="408"/>
        <w:rPr>
          <w:sz w:val="20"/>
        </w:rPr>
      </w:pPr>
      <w:r>
        <w:rPr>
          <w:spacing w:val="-3"/>
        </w:rPr>
        <w:t>总监理工程师应当按照有关规定在办理工程质量监督手续前签署工程质量终身责任承诺书，连同法定代表人出具的授权书，报工程质量监督机构备案。</w:t>
      </w:r>
    </w:p>
    <w:p>
      <w:pPr>
        <w:pStyle w:val="6"/>
        <w:numPr>
          <w:ilvl w:val="1"/>
          <w:numId w:val="4"/>
        </w:numPr>
        <w:tabs>
          <w:tab w:val="left" w:pos="801"/>
        </w:tabs>
        <w:spacing w:before="1"/>
        <w:ind w:hanging="426"/>
        <w:rPr>
          <w:sz w:val="20"/>
        </w:rPr>
      </w:pPr>
      <w:bookmarkStart w:id="124" w:name="_bookmark156"/>
      <w:bookmarkEnd w:id="124"/>
      <w:r>
        <w:t>监理责任保险</w:t>
      </w:r>
    </w:p>
    <w:p>
      <w:pPr>
        <w:pStyle w:val="11"/>
        <w:spacing w:line="364" w:lineRule="auto"/>
        <w:ind w:left="238" w:right="36" w:firstLine="420"/>
      </w:pPr>
      <w:r>
        <w:rPr>
          <w:spacing w:val="-4"/>
        </w:rPr>
        <w:t>除专用合同条款另有约定外，监理人应根据工程情况对监理责任进行保险，并在合同履行期间</w:t>
      </w:r>
      <w:r>
        <w:rPr>
          <w:spacing w:val="-3"/>
        </w:rPr>
        <w:t>保持足额、有效。</w:t>
      </w:r>
    </w:p>
    <w:p>
      <w:pPr>
        <w:pStyle w:val="4"/>
        <w:numPr>
          <w:ilvl w:val="0"/>
          <w:numId w:val="4"/>
        </w:numPr>
        <w:tabs>
          <w:tab w:val="left" w:pos="561"/>
        </w:tabs>
        <w:ind w:left="560" w:hanging="323"/>
        <w:jc w:val="left"/>
      </w:pPr>
      <w:bookmarkStart w:id="125" w:name="_bookmark157"/>
      <w:bookmarkEnd w:id="125"/>
      <w:r>
        <w:t>合同变更</w:t>
      </w:r>
    </w:p>
    <w:p>
      <w:pPr>
        <w:pStyle w:val="6"/>
        <w:numPr>
          <w:ilvl w:val="1"/>
          <w:numId w:val="4"/>
        </w:numPr>
        <w:tabs>
          <w:tab w:val="left" w:pos="801"/>
        </w:tabs>
        <w:spacing w:before="266"/>
        <w:ind w:hanging="426"/>
        <w:rPr>
          <w:sz w:val="20"/>
        </w:rPr>
      </w:pPr>
      <w:bookmarkStart w:id="126" w:name="_bookmark158"/>
      <w:bookmarkEnd w:id="126"/>
      <w:r>
        <w:rPr>
          <w:spacing w:val="-1"/>
        </w:rPr>
        <w:t>变更情形</w:t>
      </w:r>
    </w:p>
    <w:p>
      <w:pPr>
        <w:pStyle w:val="107"/>
        <w:numPr>
          <w:ilvl w:val="2"/>
          <w:numId w:val="4"/>
        </w:numPr>
        <w:tabs>
          <w:tab w:val="left" w:pos="1188"/>
        </w:tabs>
        <w:spacing w:line="364" w:lineRule="auto"/>
        <w:ind w:right="36" w:firstLine="404"/>
      </w:pPr>
      <w:r>
        <w:rPr>
          <w:spacing w:val="-4"/>
        </w:rPr>
        <w:t>合同履行中发生下述情形时，合同一方均可向对方提出变更请求，经双方协商一致后进</w:t>
      </w:r>
      <w:r>
        <w:rPr>
          <w:spacing w:val="-3"/>
        </w:rPr>
        <w:t>行变更，监理服务期限和监理报酬的调整方法在专用合同条款中约定。</w:t>
      </w:r>
    </w:p>
    <w:p>
      <w:pPr>
        <w:pStyle w:val="107"/>
        <w:numPr>
          <w:ilvl w:val="0"/>
          <w:numId w:val="15"/>
        </w:numPr>
        <w:spacing w:line="267" w:lineRule="exact"/>
        <w:ind w:left="420" w:firstLine="0" w:firstLineChars="0"/>
      </w:pPr>
      <w:r>
        <w:rPr>
          <w:spacing w:val="-3"/>
        </w:rPr>
        <w:t>监理范围发生变化；</w:t>
      </w:r>
    </w:p>
    <w:p>
      <w:pPr>
        <w:pStyle w:val="107"/>
        <w:numPr>
          <w:ilvl w:val="0"/>
          <w:numId w:val="15"/>
        </w:numPr>
        <w:tabs>
          <w:tab w:val="left" w:pos="840"/>
        </w:tabs>
        <w:spacing w:before="139"/>
        <w:ind w:left="427" w:hanging="7" w:firstLineChars="0"/>
      </w:pPr>
      <w:r>
        <w:rPr>
          <w:spacing w:val="-3"/>
        </w:rPr>
        <w:t>除不可抗力外，非监理人的原因引起的周期延误；</w:t>
      </w:r>
    </w:p>
    <w:p>
      <w:pPr>
        <w:pStyle w:val="107"/>
        <w:numPr>
          <w:ilvl w:val="0"/>
          <w:numId w:val="15"/>
        </w:numPr>
        <w:tabs>
          <w:tab w:val="left" w:pos="840"/>
        </w:tabs>
        <w:spacing w:before="141"/>
        <w:ind w:left="427" w:hanging="7" w:firstLineChars="0"/>
      </w:pPr>
      <w:r>
        <w:rPr>
          <w:spacing w:val="-3"/>
        </w:rPr>
        <w:t>非监理人的原因，对工程同一部分重复进行监理；</w:t>
      </w:r>
    </w:p>
    <w:p>
      <w:pPr>
        <w:pStyle w:val="107"/>
        <w:numPr>
          <w:ilvl w:val="0"/>
          <w:numId w:val="15"/>
        </w:numPr>
        <w:spacing w:before="139"/>
        <w:ind w:left="427" w:hanging="7" w:firstLineChars="0"/>
      </w:pPr>
      <w:r>
        <w:rPr>
          <w:spacing w:val="-3"/>
        </w:rPr>
        <w:t xml:space="preserve">非监理人的原因，对工程暂停监理及恢复监理。 </w:t>
      </w:r>
    </w:p>
    <w:p>
      <w:pPr>
        <w:pStyle w:val="107"/>
        <w:numPr>
          <w:ilvl w:val="2"/>
          <w:numId w:val="4"/>
        </w:numPr>
        <w:tabs>
          <w:tab w:val="left" w:pos="1188"/>
        </w:tabs>
        <w:spacing w:before="139" w:line="364" w:lineRule="auto"/>
        <w:ind w:right="-164" w:firstLine="404"/>
        <w:rPr>
          <w:sz w:val="20"/>
        </w:rPr>
      </w:pPr>
      <w:r>
        <w:rPr>
          <w:spacing w:val="-4"/>
        </w:rPr>
        <w:t>基准日后，因颁布新的或修订原有法律、法规、规范和标准等引发合同变更情形的，按</w:t>
      </w:r>
      <w:r>
        <w:rPr>
          <w:spacing w:val="-3"/>
        </w:rPr>
        <w:t>照上述约定进行调整。</w:t>
      </w:r>
    </w:p>
    <w:p>
      <w:pPr>
        <w:pStyle w:val="6"/>
        <w:numPr>
          <w:ilvl w:val="1"/>
          <w:numId w:val="4"/>
        </w:numPr>
        <w:tabs>
          <w:tab w:val="left" w:pos="801"/>
        </w:tabs>
        <w:ind w:hanging="426"/>
        <w:rPr>
          <w:sz w:val="20"/>
        </w:rPr>
      </w:pPr>
      <w:bookmarkStart w:id="127" w:name="_bookmark159"/>
      <w:bookmarkEnd w:id="127"/>
      <w:r>
        <w:t>合理化建议</w:t>
      </w:r>
    </w:p>
    <w:p>
      <w:pPr>
        <w:pStyle w:val="107"/>
        <w:numPr>
          <w:ilvl w:val="2"/>
          <w:numId w:val="4"/>
        </w:numPr>
        <w:tabs>
          <w:tab w:val="left" w:pos="1188"/>
        </w:tabs>
        <w:spacing w:line="367" w:lineRule="auto"/>
        <w:ind w:right="36" w:firstLine="404"/>
      </w:pPr>
      <w:r>
        <w:rPr>
          <w:spacing w:val="-4"/>
        </w:rPr>
        <w:t>合同履行中，监理人可对委托人要求提出合理化建议。合理化建议应以书面形式提交委</w:t>
      </w:r>
      <w:r>
        <w:rPr>
          <w:spacing w:val="-6"/>
        </w:rPr>
        <w:t xml:space="preserve">托人，被委托人采纳并构成变更的，执行第 </w:t>
      </w:r>
      <w:r>
        <w:t>8.1</w:t>
      </w:r>
      <w:r>
        <w:rPr>
          <w:spacing w:val="-13"/>
        </w:rPr>
        <w:t xml:space="preserve"> 款约定。</w:t>
      </w:r>
    </w:p>
    <w:p>
      <w:pPr>
        <w:pStyle w:val="107"/>
        <w:numPr>
          <w:ilvl w:val="2"/>
          <w:numId w:val="4"/>
        </w:numPr>
        <w:tabs>
          <w:tab w:val="left" w:pos="1188"/>
        </w:tabs>
        <w:spacing w:line="364" w:lineRule="auto"/>
        <w:ind w:right="36" w:firstLine="392"/>
        <w:rPr>
          <w:sz w:val="19"/>
        </w:rPr>
      </w:pPr>
      <w:r>
        <w:rPr>
          <w:spacing w:val="-7"/>
        </w:rPr>
        <w:t xml:space="preserve">监理人提出的合理化建议降低了工程投资、缩短了施工期限或者提高了工程经济效益的， </w:t>
      </w:r>
      <w:r>
        <w:rPr>
          <w:spacing w:val="-5"/>
        </w:rPr>
        <w:t>委托人应按专用合同条款中的约定给予奖励。</w:t>
      </w:r>
    </w:p>
    <w:p>
      <w:pPr>
        <w:pStyle w:val="4"/>
        <w:numPr>
          <w:ilvl w:val="0"/>
          <w:numId w:val="4"/>
        </w:numPr>
        <w:tabs>
          <w:tab w:val="left" w:pos="561"/>
        </w:tabs>
        <w:spacing w:before="0"/>
        <w:ind w:left="560" w:hanging="323"/>
        <w:jc w:val="left"/>
      </w:pPr>
      <w:bookmarkStart w:id="128" w:name="_bookmark160"/>
      <w:bookmarkEnd w:id="128"/>
      <w:r>
        <w:t>合同价格与支付</w:t>
      </w:r>
    </w:p>
    <w:p>
      <w:pPr>
        <w:pStyle w:val="6"/>
        <w:numPr>
          <w:ilvl w:val="1"/>
          <w:numId w:val="4"/>
        </w:numPr>
        <w:tabs>
          <w:tab w:val="left" w:pos="801"/>
        </w:tabs>
        <w:spacing w:before="266"/>
        <w:ind w:hanging="426"/>
        <w:rPr>
          <w:sz w:val="20"/>
        </w:rPr>
      </w:pPr>
      <w:bookmarkStart w:id="129" w:name="_bookmark161"/>
      <w:bookmarkEnd w:id="129"/>
      <w:r>
        <w:rPr>
          <w:spacing w:val="-1"/>
        </w:rPr>
        <w:t>合同价格</w:t>
      </w:r>
    </w:p>
    <w:p>
      <w:pPr>
        <w:pStyle w:val="107"/>
        <w:numPr>
          <w:ilvl w:val="2"/>
          <w:numId w:val="4"/>
        </w:numPr>
        <w:tabs>
          <w:tab w:val="left" w:pos="840"/>
        </w:tabs>
        <w:ind w:left="420" w:firstLine="0" w:firstLineChars="0"/>
      </w:pPr>
      <w:r>
        <w:rPr>
          <w:spacing w:val="-3"/>
        </w:rPr>
        <w:t>本合同的价款确定方式、调整方式和风险范围划分，在专用合同条款中约定。</w:t>
      </w:r>
    </w:p>
    <w:p>
      <w:pPr>
        <w:pStyle w:val="107"/>
        <w:numPr>
          <w:ilvl w:val="2"/>
          <w:numId w:val="4"/>
        </w:numPr>
        <w:tabs>
          <w:tab w:val="left" w:pos="840"/>
        </w:tabs>
        <w:spacing w:before="141" w:line="364" w:lineRule="auto"/>
        <w:ind w:left="414" w:leftChars="197" w:right="-164" w:firstLine="4" w:firstLineChars="0"/>
      </w:pPr>
      <w:r>
        <w:rPr>
          <w:spacing w:val="-4"/>
        </w:rPr>
        <w:t>除专用合同条款另有约定外，合同价格应当包括收集资料、踏勘现场、制订纲要、实施</w:t>
      </w:r>
      <w:r>
        <w:rPr>
          <w:spacing w:val="-3"/>
        </w:rPr>
        <w:t>监理、编制监理文件等全部费用和国家规定的增值税税金。</w:t>
      </w:r>
    </w:p>
    <w:p>
      <w:pPr>
        <w:pStyle w:val="107"/>
        <w:numPr>
          <w:ilvl w:val="2"/>
          <w:numId w:val="4"/>
        </w:numPr>
        <w:tabs>
          <w:tab w:val="left" w:pos="840"/>
        </w:tabs>
        <w:spacing w:line="364" w:lineRule="auto"/>
        <w:ind w:left="420" w:right="36" w:firstLine="0" w:firstLineChars="0"/>
        <w:rPr>
          <w:sz w:val="20"/>
        </w:rPr>
      </w:pPr>
      <w:r>
        <w:rPr>
          <w:spacing w:val="-4"/>
        </w:rPr>
        <w:t>委托人要求监理人进行外出考察、试验检测、专项咨询或专家评审时，相应费用不含在</w:t>
      </w:r>
      <w:r>
        <w:rPr>
          <w:spacing w:val="-3"/>
        </w:rPr>
        <w:t>合同价格之中，由委托人另行支付。</w:t>
      </w:r>
    </w:p>
    <w:p>
      <w:pPr>
        <w:pStyle w:val="6"/>
        <w:numPr>
          <w:ilvl w:val="1"/>
          <w:numId w:val="4"/>
        </w:numPr>
        <w:tabs>
          <w:tab w:val="left" w:pos="801"/>
        </w:tabs>
        <w:ind w:hanging="426"/>
        <w:rPr>
          <w:sz w:val="20"/>
        </w:rPr>
      </w:pPr>
      <w:bookmarkStart w:id="130" w:name="_bookmark162"/>
      <w:bookmarkEnd w:id="130"/>
      <w:r>
        <w:rPr>
          <w:spacing w:val="-1"/>
        </w:rPr>
        <w:t>预付款</w:t>
      </w:r>
    </w:p>
    <w:p>
      <w:pPr>
        <w:pStyle w:val="107"/>
        <w:numPr>
          <w:ilvl w:val="2"/>
          <w:numId w:val="4"/>
        </w:numPr>
        <w:tabs>
          <w:tab w:val="left" w:pos="1293"/>
        </w:tabs>
        <w:spacing w:before="1" w:line="364" w:lineRule="auto"/>
        <w:ind w:right="36" w:firstLine="408"/>
      </w:pPr>
      <w:r>
        <w:rPr>
          <w:spacing w:val="-3"/>
        </w:rPr>
        <w:t>预付款应专用于本工程的监理。预付款的额度、支付方式及抵扣方式在专用合同条款中</w:t>
      </w:r>
      <w:r>
        <w:rPr>
          <w:spacing w:val="-1"/>
        </w:rPr>
        <w:t>约定。</w:t>
      </w:r>
    </w:p>
    <w:p>
      <w:pPr>
        <w:pStyle w:val="107"/>
        <w:numPr>
          <w:ilvl w:val="2"/>
          <w:numId w:val="4"/>
        </w:numPr>
        <w:tabs>
          <w:tab w:val="left" w:pos="1188"/>
        </w:tabs>
        <w:spacing w:line="364" w:lineRule="auto"/>
        <w:ind w:right="36" w:firstLine="396"/>
      </w:pPr>
      <w:r>
        <w:rPr>
          <w:spacing w:val="-6"/>
        </w:rPr>
        <w:t xml:space="preserve">委托人应在收到预付款支付申请后 </w:t>
      </w:r>
      <w:r>
        <w:t>28</w:t>
      </w:r>
      <w:r>
        <w:rPr>
          <w:spacing w:val="-13"/>
        </w:rPr>
        <w:t xml:space="preserve"> 天内，将预付款支付给监理人；监理人应当提供等</w:t>
      </w:r>
      <w:r>
        <w:rPr>
          <w:spacing w:val="-6"/>
        </w:rPr>
        <w:t>额的增值税发票。</w:t>
      </w:r>
    </w:p>
    <w:p>
      <w:pPr>
        <w:pStyle w:val="6"/>
        <w:numPr>
          <w:ilvl w:val="1"/>
          <w:numId w:val="4"/>
        </w:numPr>
        <w:tabs>
          <w:tab w:val="left" w:pos="801"/>
        </w:tabs>
        <w:spacing w:before="38"/>
        <w:ind w:hanging="426"/>
        <w:rPr>
          <w:sz w:val="20"/>
        </w:rPr>
      </w:pPr>
      <w:bookmarkStart w:id="131" w:name="_bookmark163"/>
      <w:bookmarkEnd w:id="131"/>
      <w:r>
        <w:rPr>
          <w:spacing w:val="-1"/>
        </w:rPr>
        <w:t>中期支付</w:t>
      </w:r>
    </w:p>
    <w:p>
      <w:pPr>
        <w:pStyle w:val="107"/>
        <w:numPr>
          <w:ilvl w:val="2"/>
          <w:numId w:val="4"/>
        </w:numPr>
        <w:tabs>
          <w:tab w:val="left" w:pos="1188"/>
        </w:tabs>
        <w:spacing w:line="367" w:lineRule="auto"/>
        <w:ind w:right="36" w:firstLine="396"/>
      </w:pPr>
      <w:r>
        <w:rPr>
          <w:spacing w:val="-6"/>
        </w:rPr>
        <w:t xml:space="preserve">监理人应按委托人批准或专用合同条款约定的格式及份数，向委托人提交中期支付申请， </w:t>
      </w:r>
      <w:r>
        <w:rPr>
          <w:spacing w:val="-4"/>
        </w:rPr>
        <w:t>并附相应的支持性证明文件。</w:t>
      </w:r>
    </w:p>
    <w:p>
      <w:pPr>
        <w:pStyle w:val="107"/>
        <w:numPr>
          <w:ilvl w:val="2"/>
          <w:numId w:val="4"/>
        </w:numPr>
        <w:tabs>
          <w:tab w:val="left" w:pos="1188"/>
        </w:tabs>
        <w:spacing w:line="364" w:lineRule="auto"/>
        <w:ind w:right="36" w:firstLine="396"/>
      </w:pPr>
      <w:r>
        <w:rPr>
          <w:spacing w:val="-6"/>
        </w:rPr>
        <w:t xml:space="preserve">委托人应在收到中期支付申请后的 </w:t>
      </w:r>
      <w:r>
        <w:t>28</w:t>
      </w:r>
      <w:r>
        <w:rPr>
          <w:spacing w:val="-13"/>
        </w:rPr>
        <w:t xml:space="preserve"> 天内，将应付款项支付给监理人；监理人应当提供等额的增值税发票。委托人未能在前述时间内完成审批或不予答复的，视为委托人同意中期支付申</w:t>
      </w:r>
      <w:r>
        <w:rPr>
          <w:spacing w:val="-3"/>
        </w:rPr>
        <w:t>请。委托人不按期支付的，按专用合同条款的约定支付逾期付款违约金。</w:t>
      </w:r>
    </w:p>
    <w:p>
      <w:pPr>
        <w:pStyle w:val="107"/>
        <w:numPr>
          <w:ilvl w:val="2"/>
          <w:numId w:val="4"/>
        </w:numPr>
        <w:tabs>
          <w:tab w:val="left" w:pos="1188"/>
        </w:tabs>
        <w:spacing w:line="364" w:lineRule="auto"/>
        <w:ind w:right="36" w:firstLine="404"/>
        <w:rPr>
          <w:sz w:val="19"/>
        </w:rPr>
      </w:pPr>
      <w:r>
        <w:rPr>
          <w:spacing w:val="-4"/>
        </w:rPr>
        <w:t>中期支付涉及政府投资资金的，按照国库集中支付等国家相关规定和专用合同条款的约</w:t>
      </w:r>
      <w:r>
        <w:rPr>
          <w:spacing w:val="-2"/>
        </w:rPr>
        <w:t>定执行。</w:t>
      </w:r>
    </w:p>
    <w:p>
      <w:pPr>
        <w:pStyle w:val="6"/>
        <w:numPr>
          <w:ilvl w:val="1"/>
          <w:numId w:val="4"/>
        </w:numPr>
        <w:tabs>
          <w:tab w:val="left" w:pos="801"/>
        </w:tabs>
        <w:ind w:hanging="426"/>
        <w:rPr>
          <w:sz w:val="20"/>
        </w:rPr>
      </w:pPr>
      <w:bookmarkStart w:id="132" w:name="_bookmark164"/>
      <w:bookmarkEnd w:id="132"/>
      <w:r>
        <w:rPr>
          <w:spacing w:val="-1"/>
        </w:rPr>
        <w:t>费用结算</w:t>
      </w:r>
    </w:p>
    <w:p>
      <w:pPr>
        <w:pStyle w:val="107"/>
        <w:numPr>
          <w:ilvl w:val="2"/>
          <w:numId w:val="4"/>
        </w:numPr>
        <w:tabs>
          <w:tab w:val="left" w:pos="1188"/>
        </w:tabs>
        <w:spacing w:line="364" w:lineRule="auto"/>
        <w:ind w:right="36" w:firstLine="404"/>
      </w:pPr>
      <w:r>
        <w:rPr>
          <w:spacing w:val="-4"/>
        </w:rPr>
        <w:t>合同工作完成后，监理人可按专用合同条款约定的份数和期限，向委托人提交监理费用</w:t>
      </w:r>
      <w:r>
        <w:rPr>
          <w:spacing w:val="-3"/>
        </w:rPr>
        <w:t>结算申请，并提供相关证明材料。</w:t>
      </w:r>
    </w:p>
    <w:p>
      <w:pPr>
        <w:pStyle w:val="107"/>
        <w:numPr>
          <w:ilvl w:val="2"/>
          <w:numId w:val="4"/>
        </w:numPr>
        <w:tabs>
          <w:tab w:val="left" w:pos="1188"/>
        </w:tabs>
        <w:spacing w:line="364" w:lineRule="auto"/>
        <w:ind w:right="36" w:firstLine="396"/>
      </w:pPr>
      <w:r>
        <w:rPr>
          <w:spacing w:val="-6"/>
        </w:rPr>
        <w:t xml:space="preserve">委托人应在收到费用结算申请后的 </w:t>
      </w:r>
      <w:r>
        <w:t>28</w:t>
      </w:r>
      <w:r>
        <w:rPr>
          <w:spacing w:val="-13"/>
        </w:rPr>
        <w:t xml:space="preserve"> 天内，将应付款项支付给监理人；监理人应当提供等额的增值税发票。委托人未能在前述时间内完成审批或不予答复的，视为委托人同意费用结算申</w:t>
      </w:r>
      <w:r>
        <w:rPr>
          <w:spacing w:val="-3"/>
        </w:rPr>
        <w:t>请。委托人不按期支付的，按专用合同条款的约定支付逾期付款违约金。</w:t>
      </w:r>
    </w:p>
    <w:p>
      <w:pPr>
        <w:pStyle w:val="107"/>
        <w:numPr>
          <w:ilvl w:val="2"/>
          <w:numId w:val="4"/>
        </w:numPr>
        <w:tabs>
          <w:tab w:val="left" w:pos="1188"/>
        </w:tabs>
        <w:spacing w:line="364" w:lineRule="auto"/>
        <w:ind w:right="36" w:firstLine="404"/>
      </w:pPr>
      <w:r>
        <w:rPr>
          <w:spacing w:val="-4"/>
        </w:rPr>
        <w:t>委托人对费用结算申请内容有异议的，有权要求监理人进行修正和提供补充资料，由监</w:t>
      </w:r>
      <w:r>
        <w:rPr>
          <w:spacing w:val="-6"/>
        </w:rPr>
        <w:t xml:space="preserve">理人重新提交。监理人对此有异议的，按第 </w:t>
      </w:r>
      <w:r>
        <w:t>12</w:t>
      </w:r>
      <w:r>
        <w:rPr>
          <w:spacing w:val="-10"/>
        </w:rPr>
        <w:t xml:space="preserve"> 条的约定执行。</w:t>
      </w:r>
    </w:p>
    <w:p>
      <w:pPr>
        <w:pStyle w:val="107"/>
        <w:numPr>
          <w:ilvl w:val="2"/>
          <w:numId w:val="4"/>
        </w:numPr>
        <w:tabs>
          <w:tab w:val="left" w:pos="420"/>
        </w:tabs>
        <w:spacing w:line="268" w:lineRule="exact"/>
        <w:ind w:left="418" w:leftChars="199" w:firstLine="0" w:firstLineChars="0"/>
      </w:pPr>
      <w:r>
        <w:rPr>
          <w:spacing w:val="-6"/>
        </w:rPr>
        <w:t xml:space="preserve">最终结清付款涉及政府投资资金的，按第 </w:t>
      </w:r>
      <w:r>
        <w:t>9.3.3</w:t>
      </w:r>
      <w:r>
        <w:rPr>
          <w:spacing w:val="-10"/>
        </w:rPr>
        <w:t xml:space="preserve"> 项的约定执行。</w:t>
      </w:r>
    </w:p>
    <w:p>
      <w:pPr>
        <w:pStyle w:val="11"/>
        <w:rPr>
          <w:sz w:val="20"/>
        </w:rPr>
      </w:pPr>
    </w:p>
    <w:p>
      <w:pPr>
        <w:pStyle w:val="4"/>
        <w:numPr>
          <w:ilvl w:val="0"/>
          <w:numId w:val="4"/>
        </w:numPr>
        <w:tabs>
          <w:tab w:val="left" w:pos="723"/>
        </w:tabs>
        <w:spacing w:before="142"/>
        <w:ind w:left="722" w:hanging="485"/>
        <w:jc w:val="left"/>
      </w:pPr>
      <w:bookmarkStart w:id="133" w:name="_bookmark165"/>
      <w:bookmarkEnd w:id="133"/>
      <w:r>
        <w:t>不可抗力</w:t>
      </w:r>
    </w:p>
    <w:p>
      <w:pPr>
        <w:pStyle w:val="6"/>
        <w:numPr>
          <w:ilvl w:val="1"/>
          <w:numId w:val="4"/>
        </w:numPr>
        <w:tabs>
          <w:tab w:val="left" w:pos="943"/>
        </w:tabs>
        <w:spacing w:before="264"/>
        <w:ind w:left="942" w:hanging="568"/>
        <w:rPr>
          <w:sz w:val="20"/>
        </w:rPr>
      </w:pPr>
      <w:bookmarkStart w:id="134" w:name="_bookmark166"/>
      <w:bookmarkEnd w:id="134"/>
      <w:r>
        <w:t>不可抗力的确认</w:t>
      </w:r>
    </w:p>
    <w:p>
      <w:pPr>
        <w:pStyle w:val="107"/>
        <w:numPr>
          <w:ilvl w:val="2"/>
          <w:numId w:val="4"/>
        </w:numPr>
        <w:tabs>
          <w:tab w:val="left" w:pos="1294"/>
        </w:tabs>
        <w:spacing w:line="364" w:lineRule="auto"/>
        <w:ind w:right="36" w:firstLine="396"/>
      </w:pPr>
      <w:r>
        <w:rPr>
          <w:spacing w:val="-6"/>
        </w:rPr>
        <w:t>不可抗力是指监理人和委托人在订立合同时不可预见，在履行合同过程中不可避免发生</w:t>
      </w:r>
      <w:r>
        <w:rPr>
          <w:spacing w:val="-7"/>
        </w:rPr>
        <w:t>并不能克服的自然灾害和社会性突发事件，如地震、海啸、瘟疫、水灾、骚乱、暴动、战争和专用</w:t>
      </w:r>
      <w:r>
        <w:rPr>
          <w:spacing w:val="-3"/>
        </w:rPr>
        <w:t xml:space="preserve">合同条款约定的其他情形。 </w:t>
      </w:r>
    </w:p>
    <w:p>
      <w:pPr>
        <w:pStyle w:val="107"/>
        <w:numPr>
          <w:ilvl w:val="2"/>
          <w:numId w:val="4"/>
        </w:numPr>
        <w:tabs>
          <w:tab w:val="left" w:pos="1294"/>
        </w:tabs>
        <w:spacing w:line="364" w:lineRule="auto"/>
        <w:ind w:right="36" w:firstLine="384"/>
        <w:rPr>
          <w:sz w:val="20"/>
        </w:rPr>
      </w:pPr>
      <w:r>
        <w:rPr>
          <w:spacing w:val="-9"/>
        </w:rPr>
        <w:t>不可抗力发生后，委托人和监理人应及时认真统计所造成的损失，收集不可抗力造成损</w:t>
      </w:r>
      <w:r>
        <w:rPr>
          <w:spacing w:val="-5"/>
        </w:rPr>
        <w:t>失的证据。合同双方对是否属于不可抗力或其损失的意见不一致的，由合同双方协商确定。</w:t>
      </w:r>
    </w:p>
    <w:p>
      <w:pPr>
        <w:pStyle w:val="6"/>
        <w:numPr>
          <w:ilvl w:val="1"/>
          <w:numId w:val="4"/>
        </w:numPr>
        <w:tabs>
          <w:tab w:val="left" w:pos="943"/>
        </w:tabs>
        <w:ind w:left="942" w:hanging="568"/>
        <w:rPr>
          <w:sz w:val="20"/>
        </w:rPr>
      </w:pPr>
      <w:bookmarkStart w:id="135" w:name="_bookmark167"/>
      <w:bookmarkEnd w:id="135"/>
      <w:r>
        <w:t>不可抗力的通知</w:t>
      </w:r>
    </w:p>
    <w:p>
      <w:pPr>
        <w:pStyle w:val="107"/>
        <w:numPr>
          <w:ilvl w:val="2"/>
          <w:numId w:val="4"/>
        </w:numPr>
        <w:tabs>
          <w:tab w:val="left" w:pos="1294"/>
        </w:tabs>
        <w:spacing w:line="364" w:lineRule="auto"/>
        <w:ind w:right="36" w:firstLine="392"/>
      </w:pPr>
      <w:r>
        <w:rPr>
          <w:spacing w:val="-7"/>
        </w:rPr>
        <w:t>合同一方当事人遇到不可抗力事件，使其履行合同义务受到阻碍时，应立即通知合同另</w:t>
      </w:r>
      <w:r>
        <w:rPr>
          <w:spacing w:val="-5"/>
        </w:rPr>
        <w:t>一方当事人，书面说明不可抗力和受阻碍的详细情况，并提供必要的证明。</w:t>
      </w:r>
    </w:p>
    <w:p>
      <w:pPr>
        <w:pStyle w:val="107"/>
        <w:numPr>
          <w:ilvl w:val="2"/>
          <w:numId w:val="4"/>
        </w:numPr>
        <w:tabs>
          <w:tab w:val="left" w:pos="1294"/>
        </w:tabs>
        <w:spacing w:line="364" w:lineRule="auto"/>
        <w:ind w:right="36" w:firstLine="388"/>
      </w:pPr>
      <w:r>
        <w:rPr>
          <w:spacing w:val="-8"/>
        </w:rPr>
        <w:t>如不可抗力持续发生，合同一方当事人应及时向合同另一方当事人提交中间报告，说明</w:t>
      </w:r>
      <w:r>
        <w:rPr>
          <w:spacing w:val="-7"/>
        </w:rPr>
        <w:t xml:space="preserve">不可抗力和履行合同受阻的情况，并于不可抗力事件结束后 </w:t>
      </w:r>
      <w:r>
        <w:t>28</w:t>
      </w:r>
      <w:r>
        <w:rPr>
          <w:spacing w:val="-8"/>
        </w:rPr>
        <w:t xml:space="preserve"> 天内提交最终报告及有关资料。</w:t>
      </w:r>
    </w:p>
    <w:p>
      <w:pPr>
        <w:pStyle w:val="6"/>
        <w:numPr>
          <w:ilvl w:val="1"/>
          <w:numId w:val="4"/>
        </w:numPr>
        <w:tabs>
          <w:tab w:val="left" w:pos="943"/>
        </w:tabs>
        <w:spacing w:before="38"/>
        <w:ind w:left="942" w:hanging="568"/>
        <w:rPr>
          <w:sz w:val="20"/>
        </w:rPr>
      </w:pPr>
      <w:bookmarkStart w:id="136" w:name="_bookmark168"/>
      <w:bookmarkEnd w:id="136"/>
      <w:r>
        <w:t>不可抗力后果及其处理</w:t>
      </w:r>
    </w:p>
    <w:p>
      <w:pPr>
        <w:pStyle w:val="107"/>
        <w:numPr>
          <w:ilvl w:val="2"/>
          <w:numId w:val="4"/>
        </w:numPr>
        <w:tabs>
          <w:tab w:val="left" w:pos="1294"/>
        </w:tabs>
        <w:spacing w:line="367" w:lineRule="auto"/>
        <w:ind w:right="36" w:firstLine="392"/>
      </w:pPr>
      <w:r>
        <w:rPr>
          <w:spacing w:val="-7"/>
        </w:rPr>
        <w:t>不可抗力引起的后果及其损失，应由合同当事人依据法律规定各自承担。不可抗力发生</w:t>
      </w:r>
      <w:r>
        <w:rPr>
          <w:spacing w:val="-5"/>
        </w:rPr>
        <w:t xml:space="preserve">前已完成的监理工作，应当按照合同约定进行支付。 </w:t>
      </w:r>
    </w:p>
    <w:p>
      <w:pPr>
        <w:pStyle w:val="107"/>
        <w:numPr>
          <w:ilvl w:val="2"/>
          <w:numId w:val="4"/>
        </w:numPr>
        <w:tabs>
          <w:tab w:val="left" w:pos="1294"/>
        </w:tabs>
        <w:spacing w:line="364" w:lineRule="auto"/>
        <w:ind w:right="36" w:firstLine="384"/>
      </w:pPr>
      <w:r>
        <w:rPr>
          <w:spacing w:val="-9"/>
        </w:rPr>
        <w:t>不可抗力发生后，合同当事人应当采取有效措施避免损失进一步扩大，如未采取有效措</w:t>
      </w:r>
      <w:r>
        <w:rPr>
          <w:spacing w:val="-5"/>
        </w:rPr>
        <w:t xml:space="preserve">施致使损失扩大的，应当自行承担扩大部分的损失。 </w:t>
      </w:r>
    </w:p>
    <w:p>
      <w:pPr>
        <w:pStyle w:val="107"/>
        <w:numPr>
          <w:ilvl w:val="2"/>
          <w:numId w:val="4"/>
        </w:numPr>
        <w:tabs>
          <w:tab w:val="left" w:pos="1294"/>
        </w:tabs>
        <w:spacing w:line="367" w:lineRule="auto"/>
        <w:ind w:right="36" w:firstLine="392"/>
      </w:pPr>
      <w:r>
        <w:rPr>
          <w:spacing w:val="-7"/>
        </w:rPr>
        <w:t>因一方当事人迟延履行合同义务，致使迟延履行期间遭遇不可抗力的，应由该当事人承</w:t>
      </w:r>
      <w:r>
        <w:rPr>
          <w:spacing w:val="-5"/>
        </w:rPr>
        <w:t>担全部损失。</w:t>
      </w:r>
    </w:p>
    <w:p>
      <w:pPr>
        <w:pStyle w:val="11"/>
        <w:spacing w:before="4"/>
        <w:rPr>
          <w:sz w:val="19"/>
        </w:rPr>
      </w:pPr>
    </w:p>
    <w:p>
      <w:pPr>
        <w:pStyle w:val="4"/>
        <w:numPr>
          <w:ilvl w:val="0"/>
          <w:numId w:val="4"/>
        </w:numPr>
        <w:tabs>
          <w:tab w:val="left" w:pos="723"/>
        </w:tabs>
        <w:spacing w:before="0"/>
        <w:ind w:left="722" w:hanging="485"/>
        <w:jc w:val="left"/>
      </w:pPr>
      <w:bookmarkStart w:id="137" w:name="_bookmark169"/>
      <w:bookmarkEnd w:id="137"/>
      <w:r>
        <w:t>违约</w:t>
      </w:r>
    </w:p>
    <w:p>
      <w:pPr>
        <w:pStyle w:val="6"/>
        <w:numPr>
          <w:ilvl w:val="1"/>
          <w:numId w:val="4"/>
        </w:numPr>
        <w:tabs>
          <w:tab w:val="left" w:pos="943"/>
        </w:tabs>
        <w:spacing w:before="264"/>
        <w:ind w:left="942" w:hanging="568"/>
        <w:rPr>
          <w:sz w:val="20"/>
        </w:rPr>
      </w:pPr>
      <w:bookmarkStart w:id="138" w:name="_bookmark170"/>
      <w:bookmarkEnd w:id="138"/>
      <w:r>
        <w:t>监理人违约</w:t>
      </w:r>
    </w:p>
    <w:p>
      <w:pPr>
        <w:pStyle w:val="107"/>
        <w:numPr>
          <w:ilvl w:val="2"/>
          <w:numId w:val="4"/>
        </w:numPr>
        <w:tabs>
          <w:tab w:val="left" w:pos="1343"/>
        </w:tabs>
        <w:ind w:left="919" w:leftChars="200" w:hanging="499" w:hangingChars="245"/>
      </w:pPr>
      <w:r>
        <w:rPr>
          <w:spacing w:val="-3"/>
        </w:rPr>
        <w:t>合同履行中发生下列情况之一的，属监理人违约：</w:t>
      </w:r>
    </w:p>
    <w:p>
      <w:pPr>
        <w:pStyle w:val="107"/>
        <w:numPr>
          <w:ilvl w:val="0"/>
          <w:numId w:val="16"/>
        </w:numPr>
        <w:tabs>
          <w:tab w:val="left" w:pos="1188"/>
        </w:tabs>
        <w:spacing w:before="139"/>
        <w:ind w:left="764" w:leftChars="200" w:hanging="344" w:hangingChars="169"/>
      </w:pPr>
      <w:r>
        <w:rPr>
          <w:spacing w:val="-3"/>
        </w:rPr>
        <w:t>监理文件不符合规范标准以及合同约定；</w:t>
      </w:r>
    </w:p>
    <w:p>
      <w:pPr>
        <w:pStyle w:val="107"/>
        <w:numPr>
          <w:ilvl w:val="0"/>
          <w:numId w:val="16"/>
        </w:numPr>
        <w:tabs>
          <w:tab w:val="left" w:pos="1188"/>
        </w:tabs>
        <w:spacing w:before="139"/>
        <w:ind w:left="764" w:leftChars="200" w:hanging="344" w:hangingChars="169"/>
      </w:pPr>
      <w:r>
        <w:rPr>
          <w:spacing w:val="-3"/>
        </w:rPr>
        <w:t xml:space="preserve">监理人转让监理工作； </w:t>
      </w:r>
    </w:p>
    <w:p>
      <w:pPr>
        <w:pStyle w:val="107"/>
        <w:numPr>
          <w:ilvl w:val="0"/>
          <w:numId w:val="16"/>
        </w:numPr>
        <w:tabs>
          <w:tab w:val="left" w:pos="1188"/>
        </w:tabs>
        <w:spacing w:before="141"/>
        <w:ind w:left="344" w:leftChars="164" w:firstLine="73" w:firstLineChars="36"/>
      </w:pPr>
      <w:r>
        <w:rPr>
          <w:spacing w:val="-3"/>
        </w:rPr>
        <w:t xml:space="preserve">监理人未按合同约定实施监理并造成工程损失； </w:t>
      </w:r>
    </w:p>
    <w:p>
      <w:pPr>
        <w:pStyle w:val="107"/>
        <w:numPr>
          <w:ilvl w:val="0"/>
          <w:numId w:val="16"/>
        </w:numPr>
        <w:tabs>
          <w:tab w:val="left" w:pos="1188"/>
        </w:tabs>
        <w:spacing w:before="139"/>
        <w:ind w:left="126" w:leftChars="60" w:firstLine="293" w:firstLineChars="144"/>
      </w:pPr>
      <w:r>
        <w:rPr>
          <w:spacing w:val="-3"/>
        </w:rPr>
        <w:t>监理人无法履行或停止履行合同；</w:t>
      </w:r>
    </w:p>
    <w:p>
      <w:pPr>
        <w:pStyle w:val="107"/>
        <w:numPr>
          <w:ilvl w:val="0"/>
          <w:numId w:val="16"/>
        </w:numPr>
        <w:tabs>
          <w:tab w:val="left" w:pos="1188"/>
        </w:tabs>
        <w:spacing w:before="139"/>
        <w:ind w:left="764" w:leftChars="200" w:hanging="344" w:hangingChars="169"/>
      </w:pPr>
      <w:r>
        <w:rPr>
          <w:spacing w:val="-3"/>
        </w:rPr>
        <w:t>监理人不履行合同约定的其他义务。</w:t>
      </w:r>
    </w:p>
    <w:p>
      <w:pPr>
        <w:pStyle w:val="107"/>
        <w:numPr>
          <w:ilvl w:val="2"/>
          <w:numId w:val="4"/>
        </w:numPr>
        <w:tabs>
          <w:tab w:val="left" w:pos="1294"/>
        </w:tabs>
        <w:spacing w:before="139" w:line="364" w:lineRule="auto"/>
        <w:ind w:right="36" w:firstLine="404"/>
        <w:rPr>
          <w:sz w:val="20"/>
        </w:rPr>
      </w:pPr>
      <w:r>
        <w:rPr>
          <w:spacing w:val="-4"/>
        </w:rPr>
        <w:t xml:space="preserve">监理人发生违约情况时，委托人可向监理人发出整改通知，要求其在限定期限内纠正； </w:t>
      </w:r>
      <w:r>
        <w:rPr>
          <w:spacing w:val="-3"/>
        </w:rPr>
        <w:t>逾期仍不纠正的，委托人有权解除合同并向监理人发出解除合同通知。监理人应当承担由于违约所造成的费用增加、周期延误和委托人损失等。</w:t>
      </w:r>
    </w:p>
    <w:p>
      <w:pPr>
        <w:pStyle w:val="6"/>
        <w:numPr>
          <w:ilvl w:val="1"/>
          <w:numId w:val="4"/>
        </w:numPr>
        <w:tabs>
          <w:tab w:val="left" w:pos="943"/>
        </w:tabs>
        <w:ind w:left="942" w:hanging="568"/>
        <w:rPr>
          <w:sz w:val="20"/>
        </w:rPr>
      </w:pPr>
      <w:bookmarkStart w:id="139" w:name="_bookmark171"/>
      <w:bookmarkEnd w:id="139"/>
      <w:r>
        <w:t>委托人违约</w:t>
      </w:r>
    </w:p>
    <w:p>
      <w:pPr>
        <w:pStyle w:val="107"/>
        <w:numPr>
          <w:ilvl w:val="2"/>
          <w:numId w:val="4"/>
        </w:numPr>
        <w:tabs>
          <w:tab w:val="left" w:pos="1343"/>
        </w:tabs>
        <w:ind w:left="499" w:leftChars="200" w:hanging="79" w:hangingChars="39"/>
      </w:pPr>
      <w:r>
        <w:rPr>
          <w:spacing w:val="-3"/>
        </w:rPr>
        <w:t>合同履行中发生下列情况之一的，属委托人违约：</w:t>
      </w:r>
    </w:p>
    <w:p>
      <w:pPr>
        <w:pStyle w:val="107"/>
        <w:numPr>
          <w:ilvl w:val="0"/>
          <w:numId w:val="17"/>
        </w:numPr>
        <w:tabs>
          <w:tab w:val="left" w:pos="1188"/>
        </w:tabs>
        <w:spacing w:before="139"/>
        <w:ind w:left="344" w:leftChars="164" w:firstLine="73" w:firstLineChars="36"/>
      </w:pPr>
      <w:r>
        <w:rPr>
          <w:spacing w:val="-3"/>
        </w:rPr>
        <w:t>委托人未按合同约定支付监理报酬；</w:t>
      </w:r>
    </w:p>
    <w:p>
      <w:pPr>
        <w:pStyle w:val="107"/>
        <w:numPr>
          <w:ilvl w:val="0"/>
          <w:numId w:val="17"/>
        </w:numPr>
        <w:tabs>
          <w:tab w:val="left" w:pos="1188"/>
        </w:tabs>
        <w:spacing w:before="139"/>
        <w:ind w:left="764" w:leftChars="200" w:hanging="344" w:hangingChars="169"/>
      </w:pPr>
      <w:r>
        <w:rPr>
          <w:spacing w:val="-3"/>
        </w:rPr>
        <w:t>委托人原因造成监理停止；</w:t>
      </w:r>
    </w:p>
    <w:p>
      <w:pPr>
        <w:pStyle w:val="107"/>
        <w:numPr>
          <w:ilvl w:val="0"/>
          <w:numId w:val="17"/>
        </w:numPr>
        <w:tabs>
          <w:tab w:val="left" w:pos="1188"/>
        </w:tabs>
        <w:spacing w:before="141"/>
        <w:ind w:left="764" w:leftChars="200" w:hanging="344" w:hangingChars="169"/>
      </w:pPr>
      <w:r>
        <w:rPr>
          <w:spacing w:val="-3"/>
        </w:rPr>
        <w:t>委托人无法履行或停止履行合同；</w:t>
      </w:r>
    </w:p>
    <w:p>
      <w:pPr>
        <w:pStyle w:val="107"/>
        <w:numPr>
          <w:ilvl w:val="0"/>
          <w:numId w:val="17"/>
        </w:numPr>
        <w:tabs>
          <w:tab w:val="left" w:pos="1188"/>
        </w:tabs>
        <w:spacing w:before="139"/>
        <w:ind w:left="764" w:leftChars="200" w:hanging="344" w:hangingChars="169"/>
      </w:pPr>
      <w:r>
        <w:rPr>
          <w:spacing w:val="-3"/>
        </w:rPr>
        <w:t>委托人不履行合同约定的其他义务。</w:t>
      </w:r>
    </w:p>
    <w:p>
      <w:pPr>
        <w:pStyle w:val="107"/>
        <w:numPr>
          <w:ilvl w:val="2"/>
          <w:numId w:val="4"/>
        </w:numPr>
        <w:tabs>
          <w:tab w:val="left" w:pos="1343"/>
        </w:tabs>
        <w:spacing w:before="139" w:line="364" w:lineRule="auto"/>
        <w:ind w:right="36" w:firstLine="400"/>
        <w:rPr>
          <w:sz w:val="20"/>
        </w:rPr>
      </w:pPr>
      <w:r>
        <w:rPr>
          <w:spacing w:val="-5"/>
        </w:rPr>
        <w:t>委托人发生违约情况时，监理人可向委托人发出暂停监理通知，要求其在限定期限内纠</w:t>
      </w:r>
      <w:r>
        <w:rPr>
          <w:spacing w:val="-6"/>
        </w:rPr>
        <w:t>正；逾期仍不纠正的，监理人有权解除合同并向委托人发出解除合同通知。委托人应当承担由于违</w:t>
      </w:r>
      <w:r>
        <w:rPr>
          <w:spacing w:val="-3"/>
        </w:rPr>
        <w:t>约所造成的费用增加、周期延误和监理人损失等。</w:t>
      </w:r>
    </w:p>
    <w:p>
      <w:pPr>
        <w:pStyle w:val="6"/>
        <w:numPr>
          <w:ilvl w:val="1"/>
          <w:numId w:val="4"/>
        </w:numPr>
        <w:tabs>
          <w:tab w:val="left" w:pos="943"/>
        </w:tabs>
        <w:ind w:left="942" w:hanging="568"/>
        <w:rPr>
          <w:sz w:val="20"/>
        </w:rPr>
      </w:pPr>
      <w:bookmarkStart w:id="140" w:name="_bookmark172"/>
      <w:bookmarkEnd w:id="140"/>
      <w:r>
        <w:t>第三人造成的违约</w:t>
      </w:r>
    </w:p>
    <w:p>
      <w:pPr>
        <w:pStyle w:val="11"/>
        <w:ind w:left="655" w:leftChars="199" w:hanging="237" w:hangingChars="113"/>
      </w:pPr>
      <w:r>
        <w:t>在履行合同过程中，一方当事人因第三人的原因造成违约的，应当向对方当事人承担违约责任。</w:t>
      </w:r>
    </w:p>
    <w:p>
      <w:pPr>
        <w:pStyle w:val="11"/>
        <w:spacing w:before="61"/>
        <w:ind w:left="238"/>
        <w:rPr>
          <w:sz w:val="20"/>
        </w:rPr>
      </w:pPr>
      <w:r>
        <w:t xml:space="preserve">一方当事人和第三人之间的纠纷，依照法律规定或者按照约定解决。 </w:t>
      </w:r>
    </w:p>
    <w:p>
      <w:pPr>
        <w:pStyle w:val="4"/>
        <w:numPr>
          <w:ilvl w:val="0"/>
          <w:numId w:val="4"/>
        </w:numPr>
        <w:tabs>
          <w:tab w:val="left" w:pos="723"/>
        </w:tabs>
        <w:spacing w:before="143"/>
        <w:ind w:left="722" w:hanging="485"/>
        <w:jc w:val="left"/>
        <w:rPr>
          <w:sz w:val="44"/>
        </w:rPr>
      </w:pPr>
      <w:bookmarkStart w:id="141" w:name="_bookmark173"/>
      <w:bookmarkEnd w:id="141"/>
      <w:r>
        <w:t>争议的解决</w:t>
      </w:r>
    </w:p>
    <w:p>
      <w:pPr>
        <w:pStyle w:val="11"/>
        <w:spacing w:line="364" w:lineRule="auto"/>
        <w:ind w:left="238" w:right="36" w:firstLine="420"/>
        <w:rPr>
          <w:highlight w:val="none"/>
        </w:rPr>
      </w:pPr>
      <w:r>
        <w:rPr>
          <w:spacing w:val="-4"/>
        </w:rPr>
        <w:t>委托人和监理人在履行合同</w:t>
      </w:r>
      <w:r>
        <w:rPr>
          <w:spacing w:val="-4"/>
          <w:highlight w:val="none"/>
        </w:rPr>
        <w:t>中发生争议的，可以友好协商解决。合同当事人友好协商解决不成</w:t>
      </w:r>
      <w:r>
        <w:rPr>
          <w:spacing w:val="-3"/>
          <w:highlight w:val="none"/>
        </w:rPr>
        <w:t>的，可在专用合同条款中约定下列</w:t>
      </w:r>
      <w:r>
        <w:rPr>
          <w:rFonts w:hint="eastAsia"/>
          <w:spacing w:val="-3"/>
          <w:highlight w:val="none"/>
          <w:lang w:eastAsia="zh-CN"/>
        </w:rPr>
        <w:t>二</w:t>
      </w:r>
      <w:r>
        <w:rPr>
          <w:spacing w:val="-3"/>
          <w:highlight w:val="none"/>
        </w:rPr>
        <w:t>种方式解决：</w:t>
      </w:r>
    </w:p>
    <w:p>
      <w:pPr>
        <w:pStyle w:val="107"/>
        <w:numPr>
          <w:ilvl w:val="0"/>
          <w:numId w:val="18"/>
        </w:numPr>
        <w:tabs>
          <w:tab w:val="left" w:pos="1188"/>
        </w:tabs>
        <w:spacing w:line="267" w:lineRule="exact"/>
        <w:ind w:left="344" w:leftChars="164" w:firstLine="73" w:firstLineChars="36"/>
        <w:rPr>
          <w:highlight w:val="none"/>
        </w:rPr>
      </w:pPr>
      <w:r>
        <w:rPr>
          <w:spacing w:val="-3"/>
          <w:highlight w:val="none"/>
        </w:rPr>
        <w:t>向约定的仲裁委员会申请仲裁；</w:t>
      </w:r>
    </w:p>
    <w:p>
      <w:pPr>
        <w:pStyle w:val="107"/>
        <w:numPr>
          <w:ilvl w:val="0"/>
          <w:numId w:val="18"/>
        </w:numPr>
        <w:tabs>
          <w:tab w:val="left" w:pos="1188"/>
        </w:tabs>
        <w:spacing w:before="139"/>
        <w:ind w:left="764" w:leftChars="200" w:hanging="344" w:hangingChars="169"/>
        <w:rPr>
          <w:highlight w:val="none"/>
        </w:rPr>
      </w:pPr>
      <w:r>
        <w:rPr>
          <w:spacing w:val="-3"/>
          <w:highlight w:val="none"/>
        </w:rPr>
        <w:t>向</w:t>
      </w:r>
      <w:r>
        <w:rPr>
          <w:rFonts w:hint="eastAsia"/>
          <w:spacing w:val="-3"/>
          <w:highlight w:val="none"/>
          <w:lang w:eastAsia="zh-CN"/>
        </w:rPr>
        <w:t>项目所在地</w:t>
      </w:r>
      <w:r>
        <w:rPr>
          <w:spacing w:val="-3"/>
          <w:highlight w:val="none"/>
        </w:rPr>
        <w:t>的人民法院提起诉讼。</w:t>
      </w:r>
    </w:p>
    <w:p>
      <w:pPr>
        <w:pStyle w:val="107"/>
        <w:tabs>
          <w:tab w:val="left" w:pos="1188"/>
        </w:tabs>
        <w:spacing w:before="139"/>
        <w:ind w:left="65" w:leftChars="31" w:firstLine="0" w:firstLineChars="0"/>
        <w:rPr>
          <w:spacing w:val="-3"/>
        </w:rPr>
      </w:pPr>
    </w:p>
    <w:p>
      <w:pPr>
        <w:pStyle w:val="107"/>
        <w:tabs>
          <w:tab w:val="left" w:pos="1188"/>
        </w:tabs>
        <w:spacing w:before="139"/>
        <w:ind w:left="65" w:leftChars="31" w:firstLine="0" w:firstLineChars="0"/>
        <w:rPr>
          <w:spacing w:val="-3"/>
        </w:rPr>
      </w:pPr>
    </w:p>
    <w:p>
      <w:pPr>
        <w:pStyle w:val="107"/>
        <w:tabs>
          <w:tab w:val="left" w:pos="1188"/>
        </w:tabs>
        <w:spacing w:before="139"/>
        <w:ind w:left="65" w:leftChars="31" w:firstLine="0" w:firstLineChars="0"/>
        <w:rPr>
          <w:spacing w:val="-3"/>
        </w:rPr>
      </w:pPr>
    </w:p>
    <w:p>
      <w:pPr>
        <w:pStyle w:val="4"/>
        <w:spacing w:before="42"/>
        <w:ind w:right="112"/>
        <w:jc w:val="center"/>
        <w:rPr>
          <w:b/>
          <w:sz w:val="20"/>
        </w:rPr>
      </w:pPr>
      <w:r>
        <w:t>第二节 专用合同条款</w:t>
      </w:r>
    </w:p>
    <w:p>
      <w:pPr>
        <w:pStyle w:val="11"/>
        <w:spacing w:before="8"/>
        <w:rPr>
          <w:b/>
          <w:sz w:val="19"/>
        </w:rPr>
      </w:pPr>
    </w:p>
    <w:p>
      <w:pPr>
        <w:pStyle w:val="107"/>
        <w:numPr>
          <w:ilvl w:val="0"/>
          <w:numId w:val="19"/>
        </w:numPr>
        <w:tabs>
          <w:tab w:val="left" w:pos="669"/>
        </w:tabs>
        <w:spacing w:before="54"/>
        <w:ind w:left="246" w:leftChars="117" w:firstLine="173" w:firstLineChars="54"/>
        <w:jc w:val="left"/>
        <w:rPr>
          <w:rFonts w:ascii="宋体" w:hAnsi="宋体" w:cs="宋体"/>
          <w:b/>
          <w:sz w:val="32"/>
        </w:rPr>
      </w:pPr>
      <w:bookmarkStart w:id="142" w:name="_bookmark175"/>
      <w:bookmarkEnd w:id="142"/>
      <w:r>
        <w:rPr>
          <w:rFonts w:hint="eastAsia" w:ascii="宋体" w:hAnsi="宋体" w:cs="宋体"/>
          <w:b/>
          <w:sz w:val="32"/>
        </w:rPr>
        <w:t>一般约定</w:t>
      </w:r>
    </w:p>
    <w:p>
      <w:pPr>
        <w:pStyle w:val="6"/>
        <w:numPr>
          <w:ilvl w:val="1"/>
          <w:numId w:val="20"/>
        </w:numPr>
        <w:tabs>
          <w:tab w:val="left" w:pos="801"/>
        </w:tabs>
        <w:spacing w:before="264"/>
        <w:ind w:hanging="426"/>
        <w:rPr>
          <w:rFonts w:ascii="宋体" w:hAnsi="宋体" w:eastAsia="宋体" w:cs="宋体"/>
        </w:rPr>
      </w:pPr>
      <w:bookmarkStart w:id="143" w:name="_bookmark176"/>
      <w:bookmarkEnd w:id="143"/>
      <w:r>
        <w:rPr>
          <w:rFonts w:hint="eastAsia" w:ascii="宋体" w:hAnsi="宋体" w:eastAsia="宋体" w:cs="宋体"/>
          <w:spacing w:val="-1"/>
        </w:rPr>
        <w:t>适用法律</w:t>
      </w:r>
    </w:p>
    <w:p>
      <w:pPr>
        <w:widowControl/>
        <w:kinsoku w:val="0"/>
        <w:autoSpaceDE w:val="0"/>
        <w:autoSpaceDN w:val="0"/>
        <w:adjustRightInd w:val="0"/>
        <w:snapToGrid w:val="0"/>
        <w:spacing w:line="380" w:lineRule="exact"/>
        <w:ind w:firstLine="840" w:firstLineChars="400"/>
        <w:textAlignment w:val="baseline"/>
        <w:rPr>
          <w:rFonts w:ascii="宋体" w:hAnsi="宋体" w:cs="宋体"/>
        </w:rPr>
      </w:pPr>
      <w:r>
        <w:rPr>
          <w:rFonts w:hint="eastAsia" w:ascii="宋体" w:hAnsi="宋体" w:cs="宋体"/>
        </w:rPr>
        <w:t>本合同适用的其他规范性文件 ：</w:t>
      </w:r>
      <w:r>
        <w:rPr>
          <w:rFonts w:hint="eastAsia" w:ascii="宋体" w:hAnsi="宋体" w:cs="宋体"/>
          <w:snapToGrid w:val="0"/>
          <w:color w:val="000000"/>
          <w:kern w:val="0"/>
          <w:szCs w:val="21"/>
          <w:u w:val="single"/>
        </w:rPr>
        <w:t xml:space="preserve">        /      </w:t>
      </w:r>
      <w:r>
        <w:rPr>
          <w:rFonts w:hint="eastAsia" w:ascii="宋体" w:hAnsi="宋体" w:cs="宋体"/>
          <w:snapToGrid w:val="0"/>
          <w:color w:val="000000"/>
          <w:kern w:val="0"/>
          <w:szCs w:val="21"/>
        </w:rPr>
        <w:t>。</w:t>
      </w:r>
    </w:p>
    <w:p>
      <w:pPr>
        <w:pStyle w:val="6"/>
        <w:keepNext w:val="0"/>
        <w:keepLines w:val="0"/>
        <w:widowControl/>
        <w:numPr>
          <w:ilvl w:val="1"/>
          <w:numId w:val="20"/>
        </w:numPr>
        <w:tabs>
          <w:tab w:val="left" w:pos="801"/>
        </w:tabs>
        <w:kinsoku w:val="0"/>
        <w:autoSpaceDE w:val="0"/>
        <w:autoSpaceDN w:val="0"/>
        <w:snapToGrid w:val="0"/>
        <w:spacing w:before="62" w:line="380" w:lineRule="exact"/>
        <w:ind w:hanging="426"/>
        <w:rPr>
          <w:rFonts w:ascii="宋体" w:hAnsi="宋体" w:eastAsia="宋体" w:cs="宋体"/>
        </w:rPr>
      </w:pPr>
      <w:bookmarkStart w:id="144" w:name="_bookmark177"/>
      <w:bookmarkEnd w:id="144"/>
      <w:r>
        <w:rPr>
          <w:rFonts w:hint="eastAsia" w:ascii="宋体" w:hAnsi="宋体" w:eastAsia="宋体" w:cs="宋体"/>
        </w:rPr>
        <w:t>合同文件的优先顺序</w:t>
      </w:r>
    </w:p>
    <w:p>
      <w:pPr>
        <w:widowControl/>
        <w:kinsoku w:val="0"/>
        <w:autoSpaceDE w:val="0"/>
        <w:autoSpaceDN w:val="0"/>
        <w:adjustRightInd w:val="0"/>
        <w:snapToGrid w:val="0"/>
        <w:spacing w:line="380" w:lineRule="exact"/>
        <w:ind w:firstLine="728" w:firstLineChars="400"/>
        <w:jc w:val="left"/>
        <w:textAlignment w:val="baseline"/>
        <w:rPr>
          <w:rFonts w:ascii="宋体" w:hAnsi="宋体" w:cs="宋体"/>
        </w:rPr>
      </w:pPr>
      <w:r>
        <w:rPr>
          <w:rFonts w:hint="eastAsia" w:ascii="宋体" w:hAnsi="宋体" w:cs="宋体"/>
          <w:snapToGrid w:val="0"/>
          <w:color w:val="000000"/>
          <w:spacing w:val="-14"/>
          <w:kern w:val="0"/>
          <w:szCs w:val="21"/>
        </w:rPr>
        <w:t>关于合同文件优先顺序的约定</w:t>
      </w:r>
      <w:r>
        <w:rPr>
          <w:rFonts w:hint="eastAsia" w:ascii="宋体" w:hAnsi="宋体" w:cs="宋体"/>
        </w:rPr>
        <w:t xml:space="preserve"> ：</w:t>
      </w:r>
      <w:r>
        <w:rPr>
          <w:rFonts w:hint="eastAsia" w:ascii="宋体" w:hAnsi="宋体" w:cs="宋体"/>
          <w:snapToGrid w:val="0"/>
          <w:color w:val="000000"/>
          <w:kern w:val="0"/>
          <w:szCs w:val="21"/>
          <w:u w:val="single"/>
        </w:rPr>
        <w:t>按通用合同条款执行</w:t>
      </w:r>
      <w:r>
        <w:rPr>
          <w:rFonts w:hint="eastAsia" w:ascii="宋体" w:hAnsi="宋体" w:cs="宋体"/>
          <w:snapToGrid w:val="0"/>
          <w:color w:val="000000"/>
          <w:kern w:val="0"/>
          <w:szCs w:val="21"/>
        </w:rPr>
        <w:t>。</w:t>
      </w:r>
    </w:p>
    <w:p>
      <w:pPr>
        <w:pStyle w:val="6"/>
        <w:keepNext w:val="0"/>
        <w:keepLines w:val="0"/>
        <w:widowControl/>
        <w:numPr>
          <w:ilvl w:val="1"/>
          <w:numId w:val="20"/>
        </w:numPr>
        <w:tabs>
          <w:tab w:val="left" w:pos="801"/>
        </w:tabs>
        <w:kinsoku w:val="0"/>
        <w:autoSpaceDE w:val="0"/>
        <w:autoSpaceDN w:val="0"/>
        <w:snapToGrid w:val="0"/>
        <w:spacing w:before="62" w:line="380" w:lineRule="exact"/>
        <w:ind w:hanging="426"/>
        <w:rPr>
          <w:rFonts w:ascii="宋体" w:hAnsi="宋体" w:eastAsia="宋体" w:cs="宋体"/>
        </w:rPr>
      </w:pPr>
      <w:bookmarkStart w:id="145" w:name="_bookmark178"/>
      <w:bookmarkEnd w:id="145"/>
      <w:r>
        <w:rPr>
          <w:rFonts w:hint="eastAsia" w:ascii="宋体" w:hAnsi="宋体" w:eastAsia="宋体" w:cs="宋体"/>
        </w:rPr>
        <w:t>合同协议书</w:t>
      </w:r>
    </w:p>
    <w:p>
      <w:pPr>
        <w:pStyle w:val="11"/>
        <w:widowControl/>
        <w:kinsoku w:val="0"/>
        <w:autoSpaceDE w:val="0"/>
        <w:autoSpaceDN w:val="0"/>
        <w:adjustRightInd w:val="0"/>
        <w:snapToGrid w:val="0"/>
        <w:spacing w:line="380" w:lineRule="exact"/>
        <w:ind w:firstLine="420" w:firstLineChars="200"/>
        <w:textAlignment w:val="baseline"/>
        <w:rPr>
          <w:rFonts w:ascii="宋体" w:hAnsi="宋体" w:cs="宋体"/>
        </w:rPr>
      </w:pPr>
      <w:r>
        <w:rPr>
          <w:rFonts w:hint="eastAsia" w:ascii="宋体" w:hAnsi="宋体" w:cs="宋体"/>
        </w:rPr>
        <w:t>关于合同生效时间的约定 ：</w:t>
      </w:r>
      <w:r>
        <w:rPr>
          <w:rFonts w:hint="eastAsia" w:ascii="宋体" w:hAnsi="宋体" w:cs="宋体"/>
          <w:snapToGrid w:val="0"/>
          <w:color w:val="000000"/>
          <w:kern w:val="0"/>
          <w:szCs w:val="21"/>
          <w:u w:val="single"/>
        </w:rPr>
        <w:t xml:space="preserve">   委托人和监理人的法定代表人或其委托代理人在合同协议书上签字并盖单位章后，合同生效     </w:t>
      </w:r>
      <w:r>
        <w:rPr>
          <w:rFonts w:hint="eastAsia" w:ascii="宋体" w:hAnsi="宋体" w:cs="宋体"/>
          <w:snapToGrid w:val="0"/>
          <w:color w:val="000000"/>
          <w:kern w:val="0"/>
          <w:szCs w:val="21"/>
        </w:rPr>
        <w:t xml:space="preserve">。 </w:t>
      </w:r>
    </w:p>
    <w:p>
      <w:pPr>
        <w:pStyle w:val="6"/>
        <w:keepNext w:val="0"/>
        <w:keepLines w:val="0"/>
        <w:widowControl/>
        <w:numPr>
          <w:ilvl w:val="1"/>
          <w:numId w:val="20"/>
        </w:numPr>
        <w:tabs>
          <w:tab w:val="left" w:pos="801"/>
        </w:tabs>
        <w:kinsoku w:val="0"/>
        <w:autoSpaceDE w:val="0"/>
        <w:autoSpaceDN w:val="0"/>
        <w:snapToGrid w:val="0"/>
        <w:spacing w:before="62" w:line="380" w:lineRule="exact"/>
        <w:ind w:hanging="426"/>
        <w:rPr>
          <w:rFonts w:ascii="宋体" w:hAnsi="宋体" w:eastAsia="宋体" w:cs="宋体"/>
        </w:rPr>
      </w:pPr>
      <w:bookmarkStart w:id="146" w:name="_bookmark179"/>
      <w:bookmarkEnd w:id="146"/>
      <w:r>
        <w:rPr>
          <w:rFonts w:hint="eastAsia" w:ascii="宋体" w:hAnsi="宋体" w:eastAsia="宋体" w:cs="宋体"/>
        </w:rPr>
        <w:t>文件的提供和照管</w:t>
      </w:r>
    </w:p>
    <w:p>
      <w:pPr>
        <w:pStyle w:val="107"/>
        <w:widowControl/>
        <w:numPr>
          <w:ilvl w:val="2"/>
          <w:numId w:val="20"/>
        </w:numPr>
        <w:tabs>
          <w:tab w:val="left" w:pos="1238"/>
        </w:tabs>
        <w:kinsoku w:val="0"/>
        <w:autoSpaceDE w:val="0"/>
        <w:autoSpaceDN w:val="0"/>
        <w:adjustRightInd w:val="0"/>
        <w:snapToGrid w:val="0"/>
        <w:spacing w:line="380" w:lineRule="exact"/>
        <w:ind w:left="395" w:leftChars="188" w:firstLine="24" w:firstLineChars="12"/>
        <w:textAlignment w:val="baseline"/>
        <w:rPr>
          <w:rFonts w:ascii="宋体" w:hAnsi="宋体" w:cs="宋体"/>
        </w:rPr>
      </w:pPr>
      <w:r>
        <w:rPr>
          <w:rFonts w:hint="eastAsia" w:ascii="宋体" w:hAnsi="宋体" w:cs="宋体"/>
          <w:spacing w:val="-3"/>
        </w:rPr>
        <w:t>监理文件的提供</w:t>
      </w:r>
    </w:p>
    <w:p>
      <w:pPr>
        <w:pStyle w:val="11"/>
        <w:widowControl/>
        <w:kinsoku w:val="0"/>
        <w:autoSpaceDE w:val="0"/>
        <w:autoSpaceDN w:val="0"/>
        <w:adjustRightInd w:val="0"/>
        <w:snapToGrid w:val="0"/>
        <w:spacing w:before="132" w:line="380" w:lineRule="exact"/>
        <w:ind w:left="238" w:right="36" w:firstLine="420"/>
        <w:textAlignment w:val="baseline"/>
        <w:rPr>
          <w:rFonts w:ascii="宋体" w:hAnsi="宋体" w:cs="宋体"/>
        </w:rPr>
      </w:pPr>
      <w:r>
        <w:rPr>
          <w:rFonts w:hint="eastAsia" w:ascii="宋体" w:hAnsi="宋体" w:cs="宋体"/>
          <w:spacing w:val="-14"/>
        </w:rPr>
        <w:t>监理人应在合理的期限内按照国家、水利行业现行标准、规范、规定</w:t>
      </w:r>
      <w:r>
        <w:rPr>
          <w:rFonts w:hint="eastAsia" w:ascii="宋体" w:hAnsi="宋体" w:cs="宋体"/>
          <w:spacing w:val="-17"/>
        </w:rPr>
        <w:t>，《水利工程施工监理规范》</w:t>
      </w:r>
      <w:r>
        <w:rPr>
          <w:rFonts w:hint="eastAsia" w:ascii="宋体" w:hAnsi="宋体" w:cs="宋体"/>
          <w:spacing w:val="-14"/>
        </w:rPr>
        <w:t>及施工承包合同约定向委托人提供监理文件。合同约定监理文件应经委托人批复的，委托人应当在</w:t>
      </w:r>
      <w:r>
        <w:rPr>
          <w:rFonts w:hint="eastAsia" w:ascii="宋体" w:hAnsi="宋体" w:cs="宋体"/>
          <w:spacing w:val="-3"/>
        </w:rPr>
        <w:t>合同约定的期限内批复或提出修改意见 。</w:t>
      </w:r>
    </w:p>
    <w:p>
      <w:pPr>
        <w:pStyle w:val="107"/>
        <w:widowControl/>
        <w:numPr>
          <w:ilvl w:val="2"/>
          <w:numId w:val="20"/>
        </w:numPr>
        <w:tabs>
          <w:tab w:val="left" w:pos="1188"/>
        </w:tabs>
        <w:kinsoku w:val="0"/>
        <w:autoSpaceDE w:val="0"/>
        <w:autoSpaceDN w:val="0"/>
        <w:adjustRightInd w:val="0"/>
        <w:snapToGrid w:val="0"/>
        <w:spacing w:line="380" w:lineRule="exact"/>
        <w:ind w:left="764" w:leftChars="200" w:hanging="344" w:hangingChars="169"/>
        <w:textAlignment w:val="baseline"/>
        <w:rPr>
          <w:rFonts w:ascii="宋体" w:hAnsi="宋体" w:cs="宋体"/>
        </w:rPr>
      </w:pPr>
      <w:r>
        <w:rPr>
          <w:rFonts w:hint="eastAsia" w:ascii="宋体" w:hAnsi="宋体" w:cs="宋体"/>
          <w:spacing w:val="-3"/>
        </w:rPr>
        <w:t>委托人提供的文件</w:t>
      </w:r>
    </w:p>
    <w:p>
      <w:pPr>
        <w:pStyle w:val="11"/>
        <w:widowControl/>
        <w:kinsoku w:val="0"/>
        <w:autoSpaceDE w:val="0"/>
        <w:autoSpaceDN w:val="0"/>
        <w:adjustRightInd w:val="0"/>
        <w:snapToGrid w:val="0"/>
        <w:spacing w:before="129" w:line="380" w:lineRule="exact"/>
        <w:ind w:left="238" w:right="36" w:firstLine="420"/>
        <w:textAlignment w:val="baseline"/>
        <w:rPr>
          <w:rFonts w:ascii="宋体" w:hAnsi="宋体" w:cs="宋体"/>
        </w:rPr>
      </w:pPr>
      <w:r>
        <w:rPr>
          <w:rFonts w:hint="eastAsia" w:ascii="宋体" w:hAnsi="宋体" w:cs="宋体"/>
          <w:spacing w:val="-3"/>
        </w:rPr>
        <w:t>委托人在监理合同签订后</w:t>
      </w:r>
      <w:r>
        <w:rPr>
          <w:rFonts w:hint="eastAsia" w:ascii="宋体" w:hAnsi="宋体" w:cs="宋体"/>
          <w:b/>
          <w:spacing w:val="-3"/>
          <w:u w:val="single"/>
        </w:rPr>
        <w:t>7</w:t>
      </w:r>
      <w:r>
        <w:rPr>
          <w:rFonts w:hint="eastAsia" w:ascii="宋体" w:hAnsi="宋体" w:cs="宋体"/>
          <w:spacing w:val="-16"/>
        </w:rPr>
        <w:t xml:space="preserve">日内将工程承包合同、勘察文件、设计文件等资料提供给监理人， </w:t>
      </w:r>
      <w:r>
        <w:rPr>
          <w:rFonts w:hint="eastAsia" w:ascii="宋体" w:hAnsi="宋体" w:cs="宋体"/>
          <w:spacing w:val="-7"/>
        </w:rPr>
        <w:t>监理工作所需规范标准由监理人自行提供。</w:t>
      </w:r>
    </w:p>
    <w:p>
      <w:pPr>
        <w:pStyle w:val="6"/>
        <w:keepNext w:val="0"/>
        <w:keepLines w:val="0"/>
        <w:widowControl/>
        <w:kinsoku w:val="0"/>
        <w:autoSpaceDE w:val="0"/>
        <w:autoSpaceDN w:val="0"/>
        <w:snapToGrid w:val="0"/>
        <w:spacing w:before="151" w:line="380" w:lineRule="exact"/>
        <w:ind w:left="375"/>
        <w:rPr>
          <w:rFonts w:ascii="宋体" w:hAnsi="宋体" w:eastAsia="宋体" w:cs="宋体"/>
        </w:rPr>
      </w:pPr>
      <w:bookmarkStart w:id="147" w:name="_bookmark180"/>
      <w:bookmarkEnd w:id="147"/>
      <w:r>
        <w:rPr>
          <w:rFonts w:hint="eastAsia" w:ascii="宋体" w:hAnsi="宋体" w:eastAsia="宋体" w:cs="宋体"/>
        </w:rPr>
        <w:t>1.8 转让</w:t>
      </w:r>
    </w:p>
    <w:p>
      <w:pPr>
        <w:pStyle w:val="11"/>
        <w:widowControl/>
        <w:kinsoku w:val="0"/>
        <w:autoSpaceDE w:val="0"/>
        <w:autoSpaceDN w:val="0"/>
        <w:adjustRightInd w:val="0"/>
        <w:snapToGrid w:val="0"/>
        <w:spacing w:line="380" w:lineRule="exact"/>
        <w:ind w:left="658"/>
        <w:textAlignment w:val="baseline"/>
        <w:rPr>
          <w:rFonts w:ascii="宋体" w:hAnsi="宋体" w:cs="宋体"/>
        </w:rPr>
      </w:pPr>
      <w:r>
        <w:rPr>
          <w:rFonts w:hint="eastAsia" w:ascii="宋体" w:hAnsi="宋体" w:cs="宋体"/>
        </w:rPr>
        <w:t>关于转让的约定 ：</w:t>
      </w:r>
      <w:r>
        <w:rPr>
          <w:rFonts w:hint="eastAsia" w:ascii="宋体" w:hAnsi="宋体" w:cs="宋体"/>
          <w:snapToGrid w:val="0"/>
          <w:color w:val="000000"/>
          <w:kern w:val="0"/>
          <w:szCs w:val="21"/>
          <w:u w:val="single"/>
        </w:rPr>
        <w:t xml:space="preserve">        /      </w:t>
      </w:r>
      <w:r>
        <w:rPr>
          <w:rFonts w:hint="eastAsia" w:ascii="宋体" w:hAnsi="宋体" w:cs="宋体"/>
          <w:snapToGrid w:val="0"/>
          <w:color w:val="000000"/>
          <w:kern w:val="0"/>
          <w:szCs w:val="21"/>
        </w:rPr>
        <w:t xml:space="preserve">。 </w:t>
      </w:r>
    </w:p>
    <w:p>
      <w:pPr>
        <w:pStyle w:val="6"/>
        <w:keepNext w:val="0"/>
        <w:keepLines w:val="0"/>
        <w:widowControl/>
        <w:kinsoku w:val="0"/>
        <w:autoSpaceDE w:val="0"/>
        <w:autoSpaceDN w:val="0"/>
        <w:snapToGrid w:val="0"/>
        <w:spacing w:before="62" w:line="380" w:lineRule="exact"/>
        <w:ind w:left="375"/>
        <w:rPr>
          <w:rFonts w:ascii="宋体" w:hAnsi="宋体" w:eastAsia="宋体" w:cs="宋体"/>
        </w:rPr>
      </w:pPr>
      <w:bookmarkStart w:id="148" w:name="_bookmark181"/>
      <w:bookmarkEnd w:id="148"/>
      <w:r>
        <w:rPr>
          <w:rFonts w:hint="eastAsia" w:ascii="宋体" w:hAnsi="宋体" w:eastAsia="宋体" w:cs="宋体"/>
        </w:rPr>
        <w:t>1.10 知识产权</w:t>
      </w:r>
    </w:p>
    <w:p>
      <w:pPr>
        <w:pStyle w:val="11"/>
        <w:widowControl/>
        <w:kinsoku w:val="0"/>
        <w:autoSpaceDE w:val="0"/>
        <w:autoSpaceDN w:val="0"/>
        <w:adjustRightInd w:val="0"/>
        <w:snapToGrid w:val="0"/>
        <w:spacing w:line="380" w:lineRule="exact"/>
        <w:ind w:left="238" w:right="36" w:firstLine="420" w:firstLineChars="200"/>
        <w:textAlignment w:val="baseline"/>
        <w:rPr>
          <w:rFonts w:ascii="宋体" w:hAnsi="宋体" w:cs="宋体"/>
          <w:sz w:val="15"/>
        </w:rPr>
      </w:pPr>
      <w:r>
        <w:rPr>
          <w:rFonts w:hint="eastAsia" w:ascii="宋体" w:hAnsi="宋体" w:cs="宋体"/>
        </w:rPr>
        <w:t>1.10.1 是否约定监理人完成的监理工作成果，除署名权以外的著作权和其他知识产权均归委托 人 享 有 ：</w:t>
      </w:r>
      <w:r>
        <w:rPr>
          <w:rFonts w:hint="eastAsia" w:ascii="宋体" w:hAnsi="宋体" w:cs="宋体"/>
          <w:snapToGrid w:val="0"/>
          <w:color w:val="000000"/>
          <w:kern w:val="0"/>
          <w:szCs w:val="21"/>
          <w:u w:val="single"/>
        </w:rPr>
        <w:t xml:space="preserve">        /      </w:t>
      </w:r>
      <w:r>
        <w:rPr>
          <w:rFonts w:hint="eastAsia" w:ascii="宋体" w:hAnsi="宋体" w:cs="宋体"/>
          <w:snapToGrid w:val="0"/>
          <w:color w:val="000000"/>
          <w:kern w:val="0"/>
          <w:szCs w:val="21"/>
        </w:rPr>
        <w:t xml:space="preserve">。 </w:t>
      </w:r>
    </w:p>
    <w:p>
      <w:pPr>
        <w:pStyle w:val="4"/>
        <w:keepNext w:val="0"/>
        <w:keepLines w:val="0"/>
        <w:widowControl/>
        <w:numPr>
          <w:ilvl w:val="0"/>
          <w:numId w:val="19"/>
        </w:numPr>
        <w:tabs>
          <w:tab w:val="left" w:pos="561"/>
        </w:tabs>
        <w:kinsoku w:val="0"/>
        <w:autoSpaceDE w:val="0"/>
        <w:autoSpaceDN w:val="0"/>
        <w:snapToGrid w:val="0"/>
        <w:spacing w:before="54" w:line="380" w:lineRule="exact"/>
        <w:ind w:left="560" w:hanging="323"/>
        <w:jc w:val="left"/>
        <w:rPr>
          <w:rFonts w:ascii="宋体" w:hAnsi="宋体" w:eastAsia="宋体" w:cs="宋体"/>
        </w:rPr>
      </w:pPr>
      <w:bookmarkStart w:id="149" w:name="_bookmark182"/>
      <w:bookmarkEnd w:id="149"/>
      <w:r>
        <w:rPr>
          <w:rFonts w:hint="eastAsia" w:ascii="宋体" w:hAnsi="宋体" w:eastAsia="宋体" w:cs="宋体"/>
        </w:rPr>
        <w:t>委托人义务</w:t>
      </w:r>
    </w:p>
    <w:p>
      <w:pPr>
        <w:pStyle w:val="6"/>
        <w:keepNext w:val="0"/>
        <w:keepLines w:val="0"/>
        <w:widowControl/>
        <w:kinsoku w:val="0"/>
        <w:autoSpaceDE w:val="0"/>
        <w:autoSpaceDN w:val="0"/>
        <w:snapToGrid w:val="0"/>
        <w:spacing w:before="266" w:line="380" w:lineRule="exact"/>
        <w:ind w:left="375"/>
        <w:rPr>
          <w:rFonts w:ascii="宋体" w:hAnsi="宋体" w:eastAsia="宋体" w:cs="宋体"/>
          <w:sz w:val="29"/>
        </w:rPr>
      </w:pPr>
      <w:bookmarkStart w:id="150" w:name="_bookmark183"/>
      <w:bookmarkEnd w:id="150"/>
      <w:r>
        <w:rPr>
          <w:rFonts w:hint="eastAsia" w:ascii="宋体" w:hAnsi="宋体" w:eastAsia="宋体" w:cs="宋体"/>
        </w:rPr>
        <w:t>2.3 提供设备、设施</w:t>
      </w:r>
    </w:p>
    <w:p>
      <w:pPr>
        <w:widowControl/>
        <w:kinsoku w:val="0"/>
        <w:autoSpaceDE w:val="0"/>
        <w:autoSpaceDN w:val="0"/>
        <w:adjustRightInd w:val="0"/>
        <w:snapToGrid w:val="0"/>
        <w:spacing w:line="380" w:lineRule="exact"/>
        <w:ind w:firstLine="420" w:firstLineChars="200"/>
        <w:jc w:val="left"/>
        <w:textAlignment w:val="baseline"/>
        <w:rPr>
          <w:rFonts w:ascii="宋体" w:hAnsi="宋体" w:cs="宋体"/>
          <w:u w:val="single"/>
        </w:rPr>
      </w:pPr>
      <w:r>
        <w:rPr>
          <w:rFonts w:hint="eastAsia" w:ascii="宋体" w:hAnsi="宋体" w:cs="宋体"/>
        </w:rPr>
        <w:t>委托人为监理人的现场人员提供的设施、设备：</w:t>
      </w:r>
      <w:r>
        <w:rPr>
          <w:rFonts w:hint="eastAsia" w:ascii="宋体" w:hAnsi="宋体" w:cs="宋体"/>
          <w:snapToGrid w:val="0"/>
          <w:color w:val="000000"/>
          <w:kern w:val="0"/>
          <w:szCs w:val="21"/>
          <w:u w:val="single"/>
        </w:rPr>
        <w:t xml:space="preserve">委托人不提供任何房屋、设备，一切均由监理 </w:t>
      </w:r>
    </w:p>
    <w:p>
      <w:pPr>
        <w:widowControl/>
        <w:kinsoku w:val="0"/>
        <w:autoSpaceDE w:val="0"/>
        <w:autoSpaceDN w:val="0"/>
        <w:adjustRightInd w:val="0"/>
        <w:snapToGrid w:val="0"/>
        <w:spacing w:line="380" w:lineRule="exact"/>
        <w:jc w:val="left"/>
        <w:textAlignment w:val="baseline"/>
        <w:rPr>
          <w:rFonts w:ascii="宋体" w:hAnsi="宋体" w:cs="宋体"/>
          <w:u w:val="single"/>
        </w:rPr>
      </w:pPr>
      <w:r>
        <w:rPr>
          <w:rFonts w:hint="eastAsia" w:ascii="宋体" w:hAnsi="宋体" w:cs="宋体"/>
          <w:snapToGrid w:val="0"/>
          <w:color w:val="000000"/>
          <w:kern w:val="0"/>
          <w:szCs w:val="21"/>
          <w:u w:val="single"/>
        </w:rPr>
        <w:t>人自行考虑。</w:t>
      </w:r>
    </w:p>
    <w:p>
      <w:pPr>
        <w:pStyle w:val="11"/>
        <w:ind w:left="658"/>
        <w:rPr>
          <w:rFonts w:ascii="宋体" w:hAnsi="宋体" w:cs="宋体"/>
        </w:rPr>
      </w:pPr>
    </w:p>
    <w:p>
      <w:pPr>
        <w:pStyle w:val="11"/>
        <w:ind w:left="658"/>
        <w:rPr>
          <w:rFonts w:ascii="宋体" w:hAnsi="宋体" w:cs="宋体"/>
          <w:b/>
        </w:rPr>
      </w:pPr>
      <w:r>
        <w:rPr>
          <w:rFonts w:hint="eastAsia" w:ascii="宋体" w:hAnsi="宋体" w:cs="宋体"/>
          <w:b/>
        </w:rPr>
        <w:t>委托人为监理人的现场人员提供的设施、设备表（本项目不提供）</w:t>
      </w:r>
    </w:p>
    <w:tbl>
      <w:tblPr>
        <w:tblStyle w:val="37"/>
        <w:tblW w:w="0" w:type="auto"/>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2184"/>
        <w:gridCol w:w="832"/>
        <w:gridCol w:w="900"/>
        <w:gridCol w:w="1236"/>
        <w:gridCol w:w="1080"/>
        <w:gridCol w:w="1246"/>
        <w:gridCol w:w="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79" w:type="dxa"/>
          </w:tcPr>
          <w:p>
            <w:pPr>
              <w:pStyle w:val="105"/>
              <w:spacing w:before="46"/>
              <w:ind w:left="162" w:right="47"/>
              <w:jc w:val="center"/>
            </w:pPr>
            <w:r>
              <w:t xml:space="preserve">序号 </w:t>
            </w:r>
          </w:p>
        </w:tc>
        <w:tc>
          <w:tcPr>
            <w:tcW w:w="2184" w:type="dxa"/>
          </w:tcPr>
          <w:p>
            <w:pPr>
              <w:pStyle w:val="105"/>
              <w:spacing w:before="46"/>
              <w:ind w:left="1113"/>
            </w:pPr>
            <w:r>
              <w:t xml:space="preserve">名称 </w:t>
            </w:r>
          </w:p>
        </w:tc>
        <w:tc>
          <w:tcPr>
            <w:tcW w:w="832" w:type="dxa"/>
          </w:tcPr>
          <w:p>
            <w:pPr>
              <w:pStyle w:val="105"/>
              <w:spacing w:before="46"/>
              <w:ind w:right="87"/>
              <w:jc w:val="right"/>
            </w:pPr>
            <w:r>
              <w:t xml:space="preserve">单位 </w:t>
            </w:r>
          </w:p>
        </w:tc>
        <w:tc>
          <w:tcPr>
            <w:tcW w:w="900" w:type="dxa"/>
          </w:tcPr>
          <w:p>
            <w:pPr>
              <w:pStyle w:val="105"/>
              <w:spacing w:before="46"/>
              <w:ind w:right="121"/>
              <w:jc w:val="right"/>
            </w:pPr>
            <w:r>
              <w:t xml:space="preserve">数量 </w:t>
            </w:r>
          </w:p>
        </w:tc>
        <w:tc>
          <w:tcPr>
            <w:tcW w:w="1236" w:type="dxa"/>
          </w:tcPr>
          <w:p>
            <w:pPr>
              <w:pStyle w:val="105"/>
              <w:spacing w:before="46"/>
              <w:ind w:left="198"/>
            </w:pPr>
            <w:r>
              <w:t xml:space="preserve">提供时间 </w:t>
            </w:r>
          </w:p>
        </w:tc>
        <w:tc>
          <w:tcPr>
            <w:tcW w:w="1080" w:type="dxa"/>
          </w:tcPr>
          <w:p>
            <w:pPr>
              <w:pStyle w:val="105"/>
              <w:spacing w:before="46"/>
              <w:ind w:left="121"/>
            </w:pPr>
            <w:r>
              <w:t xml:space="preserve">交还时间 </w:t>
            </w:r>
          </w:p>
        </w:tc>
        <w:tc>
          <w:tcPr>
            <w:tcW w:w="1246" w:type="dxa"/>
          </w:tcPr>
          <w:p>
            <w:pPr>
              <w:pStyle w:val="105"/>
              <w:spacing w:before="46"/>
              <w:ind w:left="203"/>
            </w:pPr>
            <w:r>
              <w:t xml:space="preserve">管理要求 </w:t>
            </w:r>
          </w:p>
        </w:tc>
        <w:tc>
          <w:tcPr>
            <w:tcW w:w="859" w:type="dxa"/>
          </w:tcPr>
          <w:p>
            <w:pPr>
              <w:pStyle w:val="105"/>
              <w:spacing w:before="46"/>
              <w:ind w:right="101"/>
              <w:jc w:val="right"/>
            </w:pPr>
            <w: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9" w:type="dxa"/>
          </w:tcPr>
          <w:p>
            <w:pPr>
              <w:pStyle w:val="105"/>
              <w:spacing w:before="101"/>
              <w:ind w:left="160" w:right="47"/>
              <w:jc w:val="center"/>
            </w:pPr>
            <w:r>
              <w:t xml:space="preserve">1 </w:t>
            </w:r>
          </w:p>
        </w:tc>
        <w:tc>
          <w:tcPr>
            <w:tcW w:w="2184" w:type="dxa"/>
          </w:tcPr>
          <w:p>
            <w:pPr>
              <w:pStyle w:val="105"/>
              <w:spacing w:line="236" w:lineRule="exact"/>
              <w:ind w:left="705" w:right="589"/>
              <w:jc w:val="center"/>
            </w:pPr>
            <w:r>
              <w:t xml:space="preserve">办公房间 </w:t>
            </w:r>
          </w:p>
          <w:p>
            <w:pPr>
              <w:pStyle w:val="105"/>
              <w:spacing w:line="223" w:lineRule="exact"/>
              <w:ind w:left="702" w:right="589"/>
              <w:jc w:val="center"/>
            </w:pPr>
            <w:r>
              <w:rPr>
                <w:w w:val="200"/>
              </w:rPr>
              <w:t>„„</w:t>
            </w:r>
          </w:p>
        </w:tc>
        <w:tc>
          <w:tcPr>
            <w:tcW w:w="832" w:type="dxa"/>
          </w:tcPr>
          <w:p>
            <w:pPr>
              <w:pStyle w:val="105"/>
              <w:spacing w:before="101"/>
              <w:ind w:right="65"/>
              <w:jc w:val="right"/>
            </w:pPr>
          </w:p>
        </w:tc>
        <w:tc>
          <w:tcPr>
            <w:tcW w:w="900" w:type="dxa"/>
          </w:tcPr>
          <w:p>
            <w:pPr>
              <w:pStyle w:val="105"/>
              <w:spacing w:before="101"/>
              <w:ind w:right="99"/>
              <w:jc w:val="right"/>
            </w:pPr>
          </w:p>
        </w:tc>
        <w:tc>
          <w:tcPr>
            <w:tcW w:w="1236" w:type="dxa"/>
          </w:tcPr>
          <w:p>
            <w:pPr>
              <w:pStyle w:val="105"/>
              <w:spacing w:before="101"/>
              <w:ind w:right="267"/>
              <w:jc w:val="right"/>
            </w:pPr>
          </w:p>
        </w:tc>
        <w:tc>
          <w:tcPr>
            <w:tcW w:w="1080" w:type="dxa"/>
          </w:tcPr>
          <w:p>
            <w:pPr>
              <w:pStyle w:val="105"/>
              <w:spacing w:before="101"/>
              <w:ind w:right="190"/>
              <w:jc w:val="right"/>
            </w:pPr>
          </w:p>
        </w:tc>
        <w:tc>
          <w:tcPr>
            <w:tcW w:w="1246" w:type="dxa"/>
          </w:tcPr>
          <w:p>
            <w:pPr>
              <w:pStyle w:val="105"/>
              <w:spacing w:before="101"/>
              <w:ind w:right="271"/>
              <w:jc w:val="right"/>
            </w:pPr>
          </w:p>
        </w:tc>
        <w:tc>
          <w:tcPr>
            <w:tcW w:w="859" w:type="dxa"/>
          </w:tcPr>
          <w:p>
            <w:pPr>
              <w:pStyle w:val="105"/>
              <w:spacing w:before="101"/>
              <w:ind w:left="119"/>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9" w:type="dxa"/>
          </w:tcPr>
          <w:p>
            <w:pPr>
              <w:pStyle w:val="105"/>
              <w:spacing w:before="101"/>
              <w:ind w:left="160" w:right="47"/>
              <w:jc w:val="center"/>
            </w:pPr>
            <w:r>
              <w:t xml:space="preserve">2 </w:t>
            </w:r>
          </w:p>
        </w:tc>
        <w:tc>
          <w:tcPr>
            <w:tcW w:w="2184" w:type="dxa"/>
          </w:tcPr>
          <w:p>
            <w:pPr>
              <w:pStyle w:val="105"/>
              <w:spacing w:line="236" w:lineRule="exact"/>
              <w:ind w:left="705" w:right="589"/>
              <w:jc w:val="center"/>
            </w:pPr>
            <w:r>
              <w:t xml:space="preserve">办公设施 </w:t>
            </w:r>
          </w:p>
          <w:p>
            <w:pPr>
              <w:pStyle w:val="105"/>
              <w:spacing w:line="223" w:lineRule="exact"/>
              <w:ind w:left="702" w:right="589"/>
              <w:jc w:val="center"/>
            </w:pPr>
            <w:r>
              <w:rPr>
                <w:w w:val="200"/>
              </w:rPr>
              <w:t>„„</w:t>
            </w:r>
          </w:p>
        </w:tc>
        <w:tc>
          <w:tcPr>
            <w:tcW w:w="832" w:type="dxa"/>
          </w:tcPr>
          <w:p>
            <w:pPr>
              <w:pStyle w:val="105"/>
              <w:spacing w:before="101"/>
              <w:ind w:right="65"/>
              <w:jc w:val="right"/>
            </w:pPr>
          </w:p>
        </w:tc>
        <w:tc>
          <w:tcPr>
            <w:tcW w:w="900" w:type="dxa"/>
          </w:tcPr>
          <w:p>
            <w:pPr>
              <w:pStyle w:val="105"/>
              <w:spacing w:before="101"/>
              <w:ind w:right="99"/>
              <w:jc w:val="right"/>
            </w:pPr>
          </w:p>
        </w:tc>
        <w:tc>
          <w:tcPr>
            <w:tcW w:w="1236" w:type="dxa"/>
          </w:tcPr>
          <w:p>
            <w:pPr>
              <w:pStyle w:val="105"/>
              <w:spacing w:before="101"/>
              <w:ind w:right="267"/>
              <w:jc w:val="right"/>
            </w:pPr>
          </w:p>
        </w:tc>
        <w:tc>
          <w:tcPr>
            <w:tcW w:w="1080" w:type="dxa"/>
          </w:tcPr>
          <w:p>
            <w:pPr>
              <w:pStyle w:val="105"/>
              <w:spacing w:before="101"/>
              <w:ind w:right="190"/>
              <w:jc w:val="right"/>
            </w:pPr>
          </w:p>
        </w:tc>
        <w:tc>
          <w:tcPr>
            <w:tcW w:w="1246" w:type="dxa"/>
          </w:tcPr>
          <w:p>
            <w:pPr>
              <w:pStyle w:val="105"/>
              <w:spacing w:before="101"/>
              <w:ind w:right="271"/>
              <w:jc w:val="right"/>
            </w:pPr>
          </w:p>
        </w:tc>
        <w:tc>
          <w:tcPr>
            <w:tcW w:w="859" w:type="dxa"/>
          </w:tcPr>
          <w:p>
            <w:pPr>
              <w:pStyle w:val="105"/>
              <w:spacing w:before="101"/>
              <w:ind w:right="79"/>
              <w:jc w:val="righ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79" w:type="dxa"/>
          </w:tcPr>
          <w:p>
            <w:pPr>
              <w:pStyle w:val="105"/>
              <w:spacing w:before="2"/>
              <w:rPr>
                <w:b/>
                <w:sz w:val="16"/>
              </w:rPr>
            </w:pPr>
          </w:p>
          <w:p>
            <w:pPr>
              <w:pStyle w:val="105"/>
              <w:ind w:left="160" w:right="47"/>
              <w:jc w:val="center"/>
            </w:pPr>
            <w:r>
              <w:t xml:space="preserve">3 </w:t>
            </w:r>
          </w:p>
        </w:tc>
        <w:tc>
          <w:tcPr>
            <w:tcW w:w="2184" w:type="dxa"/>
          </w:tcPr>
          <w:p>
            <w:pPr>
              <w:pStyle w:val="105"/>
              <w:spacing w:before="3"/>
              <w:ind w:left="705" w:right="589"/>
              <w:jc w:val="center"/>
            </w:pPr>
            <w:r>
              <w:t xml:space="preserve">生活房间 </w:t>
            </w:r>
          </w:p>
          <w:p>
            <w:pPr>
              <w:pStyle w:val="105"/>
              <w:spacing w:before="139"/>
              <w:ind w:left="702" w:right="589"/>
              <w:jc w:val="center"/>
            </w:pPr>
            <w:r>
              <w:rPr>
                <w:w w:val="200"/>
              </w:rPr>
              <w:t>„„</w:t>
            </w:r>
          </w:p>
        </w:tc>
        <w:tc>
          <w:tcPr>
            <w:tcW w:w="832" w:type="dxa"/>
          </w:tcPr>
          <w:p>
            <w:pPr>
              <w:pStyle w:val="105"/>
              <w:spacing w:before="2"/>
              <w:rPr>
                <w:b/>
                <w:sz w:val="16"/>
              </w:rPr>
            </w:pPr>
          </w:p>
          <w:p>
            <w:pPr>
              <w:pStyle w:val="105"/>
              <w:ind w:right="65"/>
              <w:jc w:val="right"/>
            </w:pPr>
          </w:p>
        </w:tc>
        <w:tc>
          <w:tcPr>
            <w:tcW w:w="900" w:type="dxa"/>
          </w:tcPr>
          <w:p>
            <w:pPr>
              <w:pStyle w:val="105"/>
              <w:spacing w:before="2"/>
              <w:rPr>
                <w:b/>
                <w:sz w:val="16"/>
              </w:rPr>
            </w:pPr>
          </w:p>
          <w:p>
            <w:pPr>
              <w:pStyle w:val="105"/>
              <w:ind w:right="99"/>
              <w:jc w:val="right"/>
            </w:pPr>
          </w:p>
        </w:tc>
        <w:tc>
          <w:tcPr>
            <w:tcW w:w="1236" w:type="dxa"/>
          </w:tcPr>
          <w:p>
            <w:pPr>
              <w:pStyle w:val="105"/>
              <w:spacing w:before="2"/>
              <w:rPr>
                <w:b/>
                <w:sz w:val="16"/>
              </w:rPr>
            </w:pPr>
          </w:p>
          <w:p>
            <w:pPr>
              <w:pStyle w:val="105"/>
              <w:ind w:right="267"/>
              <w:jc w:val="right"/>
            </w:pPr>
          </w:p>
        </w:tc>
        <w:tc>
          <w:tcPr>
            <w:tcW w:w="1080" w:type="dxa"/>
          </w:tcPr>
          <w:p>
            <w:pPr>
              <w:pStyle w:val="105"/>
              <w:spacing w:before="2"/>
              <w:rPr>
                <w:b/>
                <w:sz w:val="16"/>
              </w:rPr>
            </w:pPr>
          </w:p>
          <w:p>
            <w:pPr>
              <w:pStyle w:val="105"/>
              <w:ind w:right="190"/>
              <w:jc w:val="right"/>
            </w:pPr>
          </w:p>
        </w:tc>
        <w:tc>
          <w:tcPr>
            <w:tcW w:w="1246" w:type="dxa"/>
          </w:tcPr>
          <w:p>
            <w:pPr>
              <w:pStyle w:val="105"/>
              <w:spacing w:before="2"/>
              <w:rPr>
                <w:b/>
                <w:sz w:val="16"/>
              </w:rPr>
            </w:pPr>
          </w:p>
          <w:p>
            <w:pPr>
              <w:pStyle w:val="105"/>
              <w:ind w:right="271"/>
              <w:jc w:val="right"/>
            </w:pPr>
          </w:p>
        </w:tc>
        <w:tc>
          <w:tcPr>
            <w:tcW w:w="859" w:type="dxa"/>
          </w:tcPr>
          <w:p>
            <w:pPr>
              <w:pStyle w:val="105"/>
              <w:spacing w:before="2"/>
              <w:rPr>
                <w:b/>
                <w:sz w:val="16"/>
              </w:rPr>
            </w:pPr>
          </w:p>
          <w:p>
            <w:pPr>
              <w:pStyle w:val="105"/>
              <w:ind w:right="79"/>
              <w:jc w:val="righ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79" w:type="dxa"/>
          </w:tcPr>
          <w:p>
            <w:pPr>
              <w:pStyle w:val="105"/>
              <w:rPr>
                <w:b/>
                <w:sz w:val="16"/>
              </w:rPr>
            </w:pPr>
          </w:p>
          <w:p>
            <w:pPr>
              <w:pStyle w:val="105"/>
              <w:ind w:left="160" w:right="47"/>
              <w:jc w:val="center"/>
            </w:pPr>
            <w:r>
              <w:t xml:space="preserve">4 </w:t>
            </w:r>
          </w:p>
        </w:tc>
        <w:tc>
          <w:tcPr>
            <w:tcW w:w="2184" w:type="dxa"/>
          </w:tcPr>
          <w:p>
            <w:pPr>
              <w:pStyle w:val="105"/>
              <w:spacing w:before="1"/>
              <w:ind w:left="705" w:right="589"/>
              <w:jc w:val="center"/>
            </w:pPr>
            <w:r>
              <w:t xml:space="preserve">生活设施 </w:t>
            </w:r>
          </w:p>
          <w:p>
            <w:pPr>
              <w:pStyle w:val="105"/>
              <w:spacing w:before="139"/>
              <w:ind w:left="702" w:right="589"/>
              <w:jc w:val="center"/>
            </w:pPr>
            <w:r>
              <w:rPr>
                <w:w w:val="200"/>
              </w:rPr>
              <w:t>„„</w:t>
            </w:r>
          </w:p>
        </w:tc>
        <w:tc>
          <w:tcPr>
            <w:tcW w:w="832" w:type="dxa"/>
          </w:tcPr>
          <w:p>
            <w:pPr>
              <w:pStyle w:val="105"/>
              <w:rPr>
                <w:b/>
                <w:sz w:val="16"/>
              </w:rPr>
            </w:pPr>
          </w:p>
          <w:p>
            <w:pPr>
              <w:pStyle w:val="105"/>
              <w:ind w:right="65"/>
              <w:jc w:val="right"/>
            </w:pPr>
          </w:p>
        </w:tc>
        <w:tc>
          <w:tcPr>
            <w:tcW w:w="900" w:type="dxa"/>
          </w:tcPr>
          <w:p>
            <w:pPr>
              <w:pStyle w:val="105"/>
              <w:rPr>
                <w:b/>
                <w:sz w:val="16"/>
              </w:rPr>
            </w:pPr>
          </w:p>
          <w:p>
            <w:pPr>
              <w:pStyle w:val="105"/>
              <w:ind w:right="99"/>
              <w:jc w:val="right"/>
            </w:pPr>
          </w:p>
        </w:tc>
        <w:tc>
          <w:tcPr>
            <w:tcW w:w="1236" w:type="dxa"/>
          </w:tcPr>
          <w:p>
            <w:pPr>
              <w:pStyle w:val="105"/>
              <w:rPr>
                <w:b/>
                <w:sz w:val="16"/>
              </w:rPr>
            </w:pPr>
          </w:p>
          <w:p>
            <w:pPr>
              <w:pStyle w:val="105"/>
              <w:ind w:right="267"/>
              <w:jc w:val="right"/>
            </w:pPr>
          </w:p>
        </w:tc>
        <w:tc>
          <w:tcPr>
            <w:tcW w:w="1080" w:type="dxa"/>
          </w:tcPr>
          <w:p>
            <w:pPr>
              <w:pStyle w:val="105"/>
              <w:rPr>
                <w:b/>
                <w:sz w:val="16"/>
              </w:rPr>
            </w:pPr>
          </w:p>
          <w:p>
            <w:pPr>
              <w:pStyle w:val="105"/>
              <w:ind w:right="190"/>
              <w:jc w:val="right"/>
            </w:pPr>
          </w:p>
        </w:tc>
        <w:tc>
          <w:tcPr>
            <w:tcW w:w="1246" w:type="dxa"/>
          </w:tcPr>
          <w:p>
            <w:pPr>
              <w:pStyle w:val="105"/>
              <w:rPr>
                <w:b/>
                <w:sz w:val="16"/>
              </w:rPr>
            </w:pPr>
          </w:p>
          <w:p>
            <w:pPr>
              <w:pStyle w:val="105"/>
              <w:ind w:right="271"/>
              <w:jc w:val="right"/>
            </w:pPr>
          </w:p>
        </w:tc>
        <w:tc>
          <w:tcPr>
            <w:tcW w:w="859" w:type="dxa"/>
          </w:tcPr>
          <w:p>
            <w:pPr>
              <w:pStyle w:val="105"/>
              <w:rPr>
                <w:b/>
                <w:sz w:val="16"/>
              </w:rPr>
            </w:pPr>
          </w:p>
          <w:p>
            <w:pPr>
              <w:pStyle w:val="105"/>
              <w:ind w:right="79"/>
              <w:jc w:val="righ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679" w:type="dxa"/>
          </w:tcPr>
          <w:p>
            <w:pPr>
              <w:pStyle w:val="105"/>
              <w:spacing w:before="1"/>
              <w:ind w:left="113"/>
              <w:jc w:val="center"/>
            </w:pPr>
          </w:p>
        </w:tc>
        <w:tc>
          <w:tcPr>
            <w:tcW w:w="2184" w:type="dxa"/>
          </w:tcPr>
          <w:p>
            <w:pPr>
              <w:pStyle w:val="105"/>
              <w:spacing w:before="1"/>
              <w:ind w:left="702" w:right="589"/>
              <w:jc w:val="center"/>
            </w:pPr>
            <w:r>
              <w:rPr>
                <w:w w:val="200"/>
              </w:rPr>
              <w:t>„„</w:t>
            </w:r>
          </w:p>
        </w:tc>
        <w:tc>
          <w:tcPr>
            <w:tcW w:w="832" w:type="dxa"/>
          </w:tcPr>
          <w:p>
            <w:pPr>
              <w:pStyle w:val="105"/>
              <w:spacing w:before="1"/>
              <w:ind w:right="65"/>
              <w:jc w:val="right"/>
            </w:pPr>
          </w:p>
        </w:tc>
        <w:tc>
          <w:tcPr>
            <w:tcW w:w="900" w:type="dxa"/>
          </w:tcPr>
          <w:p>
            <w:pPr>
              <w:pStyle w:val="105"/>
              <w:spacing w:before="1"/>
              <w:ind w:right="99"/>
              <w:jc w:val="right"/>
            </w:pPr>
          </w:p>
        </w:tc>
        <w:tc>
          <w:tcPr>
            <w:tcW w:w="1236" w:type="dxa"/>
          </w:tcPr>
          <w:p>
            <w:pPr>
              <w:pStyle w:val="105"/>
              <w:spacing w:before="1"/>
              <w:ind w:right="267"/>
              <w:jc w:val="right"/>
            </w:pPr>
          </w:p>
        </w:tc>
        <w:tc>
          <w:tcPr>
            <w:tcW w:w="1080" w:type="dxa"/>
          </w:tcPr>
          <w:p>
            <w:pPr>
              <w:pStyle w:val="105"/>
              <w:spacing w:before="1"/>
              <w:ind w:right="190"/>
              <w:jc w:val="right"/>
            </w:pPr>
          </w:p>
        </w:tc>
        <w:tc>
          <w:tcPr>
            <w:tcW w:w="1246" w:type="dxa"/>
          </w:tcPr>
          <w:p>
            <w:pPr>
              <w:pStyle w:val="105"/>
              <w:spacing w:before="1"/>
              <w:ind w:right="271"/>
              <w:jc w:val="right"/>
            </w:pPr>
          </w:p>
        </w:tc>
        <w:tc>
          <w:tcPr>
            <w:tcW w:w="859" w:type="dxa"/>
          </w:tcPr>
          <w:p>
            <w:pPr>
              <w:pStyle w:val="105"/>
              <w:spacing w:before="1"/>
              <w:ind w:right="79"/>
              <w:jc w:val="right"/>
            </w:pPr>
          </w:p>
        </w:tc>
      </w:tr>
    </w:tbl>
    <w:p>
      <w:pPr>
        <w:pStyle w:val="11"/>
        <w:spacing w:before="4"/>
        <w:rPr>
          <w:b/>
          <w:sz w:val="20"/>
        </w:rPr>
      </w:pPr>
    </w:p>
    <w:p>
      <w:pPr>
        <w:pStyle w:val="107"/>
        <w:numPr>
          <w:ilvl w:val="0"/>
          <w:numId w:val="19"/>
        </w:numPr>
        <w:tabs>
          <w:tab w:val="left" w:pos="561"/>
        </w:tabs>
        <w:ind w:left="136" w:leftChars="65" w:firstLine="283" w:firstLineChars="88"/>
        <w:jc w:val="left"/>
        <w:rPr>
          <w:b/>
          <w:sz w:val="32"/>
        </w:rPr>
      </w:pPr>
      <w:bookmarkStart w:id="151" w:name="_bookmark184"/>
      <w:bookmarkEnd w:id="151"/>
      <w:r>
        <w:rPr>
          <w:b/>
          <w:sz w:val="32"/>
        </w:rPr>
        <w:t>委托人管理</w:t>
      </w:r>
    </w:p>
    <w:p>
      <w:pPr>
        <w:pStyle w:val="6"/>
        <w:numPr>
          <w:ilvl w:val="1"/>
          <w:numId w:val="19"/>
        </w:numPr>
        <w:tabs>
          <w:tab w:val="left" w:pos="801"/>
        </w:tabs>
        <w:spacing w:before="266"/>
        <w:ind w:hanging="426"/>
      </w:pPr>
      <w:bookmarkStart w:id="152" w:name="_bookmark185"/>
      <w:bookmarkEnd w:id="152"/>
      <w:r>
        <w:t>委托人代表</w:t>
      </w:r>
    </w:p>
    <w:p>
      <w:pPr>
        <w:pStyle w:val="107"/>
        <w:numPr>
          <w:ilvl w:val="2"/>
          <w:numId w:val="19"/>
        </w:numPr>
        <w:tabs>
          <w:tab w:val="left" w:pos="1305"/>
        </w:tabs>
        <w:spacing w:line="357" w:lineRule="auto"/>
        <w:ind w:right="36" w:firstLine="452"/>
      </w:pPr>
      <w:r>
        <w:rPr>
          <w:spacing w:val="8"/>
        </w:rPr>
        <w:t>将委托人代表的姓名、职务、联系方式、授权范围和授权期限书面通知监理人的时限 ：</w:t>
      </w:r>
      <w:r>
        <w:rPr>
          <w:rFonts w:hint="eastAsia"/>
          <w:b/>
          <w:spacing w:val="8"/>
        </w:rPr>
        <w:t>3天</w:t>
      </w:r>
      <w:r>
        <w:rPr>
          <w:spacing w:val="48"/>
        </w:rPr>
        <w:t xml:space="preserve"> 。</w:t>
      </w:r>
    </w:p>
    <w:p>
      <w:pPr>
        <w:pStyle w:val="6"/>
        <w:spacing w:before="151"/>
        <w:ind w:left="375"/>
      </w:pPr>
      <w:bookmarkStart w:id="153" w:name="_bookmark186"/>
      <w:bookmarkEnd w:id="153"/>
      <w:r>
        <w:t>3.3 决定或答复</w:t>
      </w:r>
    </w:p>
    <w:p>
      <w:pPr>
        <w:pStyle w:val="11"/>
        <w:spacing w:before="9"/>
        <w:rPr>
          <w:b/>
          <w:sz w:val="20"/>
        </w:rPr>
      </w:pPr>
    </w:p>
    <w:p>
      <w:pPr>
        <w:widowControl/>
        <w:jc w:val="left"/>
        <w:rPr>
          <w:rFonts w:ascii="宋体" w:hAnsi="宋体" w:cs="宋体"/>
          <w:snapToGrid w:val="0"/>
          <w:color w:val="000000"/>
          <w:kern w:val="0"/>
          <w:szCs w:val="21"/>
        </w:rPr>
      </w:pPr>
      <w:r>
        <w:t>3.3.2 委托人对监理人书面提出的事项作出书面答复的时限：</w:t>
      </w:r>
      <w:r>
        <w:rPr>
          <w:rFonts w:hint="eastAsia" w:ascii="宋体" w:hAnsi="宋体" w:cs="宋体"/>
          <w:snapToGrid w:val="0"/>
          <w:color w:val="000000"/>
          <w:kern w:val="0"/>
          <w:szCs w:val="21"/>
        </w:rPr>
        <w:t>一般文件</w:t>
      </w:r>
      <w:r>
        <w:rPr>
          <w:rFonts w:hint="eastAsia" w:ascii="宋体" w:hAnsi="宋体" w:cs="宋体"/>
          <w:snapToGrid w:val="0"/>
          <w:color w:val="000000"/>
          <w:kern w:val="0"/>
          <w:szCs w:val="21"/>
          <w:u w:val="single"/>
        </w:rPr>
        <w:t xml:space="preserve"> 7 </w:t>
      </w:r>
      <w:r>
        <w:rPr>
          <w:rFonts w:hint="eastAsia" w:ascii="宋体" w:hAnsi="宋体" w:cs="宋体"/>
          <w:snapToGrid w:val="0"/>
          <w:color w:val="000000"/>
          <w:kern w:val="0"/>
          <w:szCs w:val="21"/>
        </w:rPr>
        <w:t>天；紧急事项</w:t>
      </w:r>
      <w:r>
        <w:rPr>
          <w:rFonts w:hint="eastAsia" w:ascii="宋体" w:hAnsi="宋体" w:cs="宋体"/>
          <w:snapToGrid w:val="0"/>
          <w:color w:val="000000"/>
          <w:kern w:val="0"/>
          <w:szCs w:val="21"/>
          <w:u w:val="single"/>
        </w:rPr>
        <w:t xml:space="preserve"> 1 </w:t>
      </w:r>
      <w:r>
        <w:rPr>
          <w:rFonts w:hint="eastAsia" w:ascii="宋体" w:hAnsi="宋体" w:cs="宋体"/>
          <w:snapToGrid w:val="0"/>
          <w:color w:val="000000"/>
          <w:kern w:val="0"/>
          <w:szCs w:val="21"/>
        </w:rPr>
        <w:t>天；变更文</w:t>
      </w:r>
    </w:p>
    <w:p>
      <w:pPr>
        <w:widowControl/>
        <w:jc w:val="left"/>
      </w:pPr>
      <w:r>
        <w:rPr>
          <w:rFonts w:hint="eastAsia" w:ascii="宋体" w:hAnsi="宋体" w:cs="宋体"/>
          <w:snapToGrid w:val="0"/>
          <w:color w:val="000000"/>
          <w:kern w:val="0"/>
          <w:szCs w:val="21"/>
        </w:rPr>
        <w:t>件</w:t>
      </w:r>
      <w:r>
        <w:rPr>
          <w:rFonts w:hint="eastAsia" w:ascii="宋体" w:hAnsi="宋体" w:cs="宋体"/>
          <w:snapToGrid w:val="0"/>
          <w:color w:val="000000"/>
          <w:kern w:val="0"/>
          <w:szCs w:val="21"/>
          <w:u w:val="single"/>
        </w:rPr>
        <w:t xml:space="preserve"> 3 </w:t>
      </w:r>
      <w:r>
        <w:rPr>
          <w:rFonts w:hint="eastAsia" w:ascii="宋体" w:hAnsi="宋体" w:cs="宋体"/>
          <w:snapToGrid w:val="0"/>
          <w:color w:val="000000"/>
          <w:kern w:val="0"/>
          <w:szCs w:val="21"/>
        </w:rPr>
        <w:t>天。</w:t>
      </w:r>
    </w:p>
    <w:p>
      <w:pPr>
        <w:pStyle w:val="4"/>
        <w:numPr>
          <w:ilvl w:val="0"/>
          <w:numId w:val="19"/>
        </w:numPr>
        <w:tabs>
          <w:tab w:val="left" w:pos="561"/>
        </w:tabs>
        <w:spacing w:before="1"/>
        <w:ind w:left="560" w:hanging="323"/>
        <w:jc w:val="left"/>
      </w:pPr>
      <w:bookmarkStart w:id="154" w:name="_bookmark187"/>
      <w:bookmarkEnd w:id="154"/>
      <w:r>
        <w:t>监理人义务</w:t>
      </w:r>
    </w:p>
    <w:p>
      <w:pPr>
        <w:pStyle w:val="6"/>
        <w:numPr>
          <w:ilvl w:val="1"/>
          <w:numId w:val="19"/>
        </w:numPr>
        <w:tabs>
          <w:tab w:val="left" w:pos="801"/>
        </w:tabs>
        <w:spacing w:before="266"/>
        <w:ind w:hanging="426"/>
      </w:pPr>
      <w:bookmarkStart w:id="155" w:name="_bookmark188"/>
      <w:bookmarkEnd w:id="155"/>
      <w:r>
        <w:t>监理人的一般义务</w:t>
      </w:r>
    </w:p>
    <w:p>
      <w:pPr>
        <w:widowControl/>
        <w:kinsoku w:val="0"/>
        <w:autoSpaceDE w:val="0"/>
        <w:autoSpaceDN w:val="0"/>
        <w:adjustRightInd w:val="0"/>
        <w:snapToGrid w:val="0"/>
        <w:spacing w:line="400" w:lineRule="exact"/>
        <w:jc w:val="left"/>
        <w:textAlignment w:val="baseline"/>
      </w:pPr>
      <w:r>
        <w:rPr>
          <w:rFonts w:hint="eastAsia" w:ascii="宋体" w:hAnsi="宋体" w:cs="宋体"/>
          <w:snapToGrid w:val="0"/>
          <w:color w:val="000000"/>
          <w:kern w:val="0"/>
          <w:sz w:val="22"/>
          <w:szCs w:val="22"/>
        </w:rPr>
        <w:t xml:space="preserve">第4.1.3项细化为： </w:t>
      </w:r>
    </w:p>
    <w:p>
      <w:pPr>
        <w:widowControl/>
        <w:kinsoku w:val="0"/>
        <w:autoSpaceDE w:val="0"/>
        <w:autoSpaceDN w:val="0"/>
        <w:adjustRightInd w:val="0"/>
        <w:snapToGrid w:val="0"/>
        <w:spacing w:line="400" w:lineRule="exact"/>
        <w:ind w:firstLine="440" w:firstLineChars="200"/>
        <w:jc w:val="left"/>
        <w:textAlignment w:val="baseline"/>
      </w:pPr>
      <w:r>
        <w:rPr>
          <w:rFonts w:hint="eastAsia" w:ascii="宋体" w:hAnsi="宋体" w:cs="宋体"/>
          <w:snapToGrid w:val="0"/>
          <w:color w:val="000000"/>
          <w:kern w:val="0"/>
          <w:sz w:val="22"/>
          <w:szCs w:val="22"/>
        </w:rPr>
        <w:t xml:space="preserve">（1）本着“守法、诚信、公正、科学”的原则，监理人应按合同约定以及委托人要求，完 </w:t>
      </w:r>
    </w:p>
    <w:p>
      <w:pPr>
        <w:widowControl/>
        <w:kinsoku w:val="0"/>
        <w:autoSpaceDE w:val="0"/>
        <w:autoSpaceDN w:val="0"/>
        <w:adjustRightInd w:val="0"/>
        <w:snapToGrid w:val="0"/>
        <w:spacing w:line="400" w:lineRule="exact"/>
        <w:jc w:val="left"/>
        <w:textAlignment w:val="baseline"/>
      </w:pPr>
      <w:r>
        <w:rPr>
          <w:rFonts w:hint="eastAsia" w:ascii="宋体" w:hAnsi="宋体" w:cs="宋体"/>
          <w:snapToGrid w:val="0"/>
          <w:color w:val="000000"/>
          <w:kern w:val="0"/>
          <w:sz w:val="22"/>
          <w:szCs w:val="22"/>
        </w:rPr>
        <w:t xml:space="preserve">成合同约定的全部工作，并对工作中的任何缺陷进行整改，使其满足合同约定的目的。 </w:t>
      </w:r>
    </w:p>
    <w:p>
      <w:pPr>
        <w:widowControl/>
        <w:kinsoku w:val="0"/>
        <w:autoSpaceDE w:val="0"/>
        <w:autoSpaceDN w:val="0"/>
        <w:adjustRightInd w:val="0"/>
        <w:snapToGrid w:val="0"/>
        <w:spacing w:line="400" w:lineRule="exact"/>
        <w:ind w:firstLine="440" w:firstLineChars="200"/>
        <w:jc w:val="left"/>
        <w:textAlignment w:val="baseline"/>
      </w:pPr>
      <w:r>
        <w:rPr>
          <w:rFonts w:hint="eastAsia" w:ascii="宋体" w:hAnsi="宋体" w:cs="宋体"/>
          <w:snapToGrid w:val="0"/>
          <w:color w:val="000000"/>
          <w:kern w:val="0"/>
          <w:sz w:val="22"/>
          <w:szCs w:val="22"/>
        </w:rPr>
        <w:t xml:space="preserve">（2）发现设计文件不符合有关规定或合同约定时，应向委托人报告。 </w:t>
      </w:r>
    </w:p>
    <w:p>
      <w:pPr>
        <w:widowControl/>
        <w:kinsoku w:val="0"/>
        <w:autoSpaceDE w:val="0"/>
        <w:autoSpaceDN w:val="0"/>
        <w:adjustRightInd w:val="0"/>
        <w:snapToGrid w:val="0"/>
        <w:spacing w:line="400" w:lineRule="exact"/>
        <w:ind w:firstLine="420" w:firstLineChars="200"/>
        <w:jc w:val="left"/>
        <w:textAlignment w:val="baseline"/>
        <w:rPr>
          <w:rFonts w:ascii="宋体" w:hAnsi="宋体" w:cs="宋体"/>
          <w:snapToGrid w:val="0"/>
          <w:color w:val="000000"/>
          <w:kern w:val="0"/>
          <w:szCs w:val="21"/>
        </w:rPr>
      </w:pPr>
      <w:r>
        <w:rPr>
          <w:rFonts w:hint="eastAsia" w:ascii="宋体" w:hAnsi="宋体" w:cs="宋体"/>
          <w:snapToGrid w:val="0"/>
          <w:color w:val="000000"/>
          <w:kern w:val="0"/>
          <w:szCs w:val="21"/>
        </w:rPr>
        <w:t>（3）核验建筑材料、建筑构配件和设备质量，检查、检验并确认工程的施工质量；检查施工安</w:t>
      </w:r>
    </w:p>
    <w:p>
      <w:pPr>
        <w:widowControl/>
        <w:kinsoku w:val="0"/>
        <w:autoSpaceDE w:val="0"/>
        <w:autoSpaceDN w:val="0"/>
        <w:adjustRightInd w:val="0"/>
        <w:snapToGrid w:val="0"/>
        <w:spacing w:line="400" w:lineRule="exact"/>
        <w:jc w:val="left"/>
        <w:textAlignment w:val="baseline"/>
        <w:rPr>
          <w:rFonts w:ascii="宋体" w:hAnsi="宋体" w:cs="宋体"/>
          <w:snapToGrid w:val="0"/>
          <w:color w:val="000000"/>
          <w:kern w:val="0"/>
          <w:szCs w:val="21"/>
        </w:rPr>
      </w:pPr>
      <w:r>
        <w:rPr>
          <w:rFonts w:hint="eastAsia" w:ascii="宋体" w:hAnsi="宋体" w:cs="宋体"/>
          <w:snapToGrid w:val="0"/>
          <w:color w:val="000000"/>
          <w:kern w:val="0"/>
          <w:szCs w:val="21"/>
        </w:rPr>
        <w:t>全生产情况。发现存在质量、安全事故隐患，或发生质量、安全事故，应按有关规定及时采取相应</w:t>
      </w:r>
    </w:p>
    <w:p>
      <w:pPr>
        <w:widowControl/>
        <w:kinsoku w:val="0"/>
        <w:autoSpaceDE w:val="0"/>
        <w:autoSpaceDN w:val="0"/>
        <w:adjustRightInd w:val="0"/>
        <w:snapToGrid w:val="0"/>
        <w:spacing w:line="400" w:lineRule="exact"/>
        <w:jc w:val="left"/>
        <w:textAlignment w:val="baseline"/>
        <w:rPr>
          <w:rFonts w:ascii="宋体" w:hAnsi="宋体" w:cs="宋体"/>
          <w:snapToGrid w:val="0"/>
          <w:color w:val="000000"/>
          <w:kern w:val="0"/>
          <w:szCs w:val="21"/>
        </w:rPr>
      </w:pPr>
      <w:r>
        <w:rPr>
          <w:rFonts w:hint="eastAsia" w:ascii="宋体" w:hAnsi="宋体" w:cs="宋体"/>
          <w:snapToGrid w:val="0"/>
          <w:color w:val="000000"/>
          <w:kern w:val="0"/>
          <w:szCs w:val="21"/>
        </w:rPr>
        <w:t>的监理措施。</w:t>
      </w:r>
    </w:p>
    <w:p>
      <w:pPr>
        <w:widowControl/>
        <w:kinsoku w:val="0"/>
        <w:autoSpaceDE w:val="0"/>
        <w:autoSpaceDN w:val="0"/>
        <w:adjustRightInd w:val="0"/>
        <w:snapToGrid w:val="0"/>
        <w:spacing w:line="400" w:lineRule="exact"/>
        <w:ind w:firstLine="420" w:firstLineChars="200"/>
        <w:jc w:val="left"/>
        <w:textAlignment w:val="baseline"/>
        <w:rPr>
          <w:rFonts w:ascii="宋体" w:hAnsi="宋体" w:cs="宋体"/>
          <w:snapToGrid w:val="0"/>
          <w:color w:val="000000"/>
          <w:kern w:val="0"/>
          <w:szCs w:val="21"/>
        </w:rPr>
      </w:pPr>
      <w:r>
        <w:rPr>
          <w:rFonts w:hint="eastAsia" w:ascii="宋体" w:hAnsi="宋体" w:cs="宋体"/>
          <w:snapToGrid w:val="0"/>
          <w:color w:val="000000"/>
          <w:kern w:val="0"/>
          <w:szCs w:val="21"/>
        </w:rPr>
        <w:t>（4）监督、检查工程施工进度。监理人还应当负责对施工承包人的项目人员进行考勤，</w:t>
      </w:r>
    </w:p>
    <w:p>
      <w:pPr>
        <w:widowControl/>
        <w:kinsoku w:val="0"/>
        <w:autoSpaceDE w:val="0"/>
        <w:autoSpaceDN w:val="0"/>
        <w:adjustRightInd w:val="0"/>
        <w:snapToGrid w:val="0"/>
        <w:spacing w:line="400" w:lineRule="exact"/>
        <w:jc w:val="left"/>
        <w:textAlignment w:val="baseline"/>
        <w:rPr>
          <w:szCs w:val="21"/>
        </w:rPr>
      </w:pPr>
      <w:r>
        <w:rPr>
          <w:rFonts w:hint="eastAsia" w:ascii="宋体" w:hAnsi="宋体" w:cs="宋体"/>
          <w:snapToGrid w:val="0"/>
          <w:color w:val="000000"/>
          <w:kern w:val="0"/>
          <w:szCs w:val="21"/>
        </w:rPr>
        <w:t xml:space="preserve">并每月将人员考勤结果报建管处审核。 </w:t>
      </w:r>
    </w:p>
    <w:p>
      <w:pPr>
        <w:widowControl/>
        <w:numPr>
          <w:ilvl w:val="0"/>
          <w:numId w:val="17"/>
        </w:numPr>
        <w:kinsoku w:val="0"/>
        <w:autoSpaceDE w:val="0"/>
        <w:autoSpaceDN w:val="0"/>
        <w:adjustRightInd w:val="0"/>
        <w:snapToGrid w:val="0"/>
        <w:spacing w:line="400" w:lineRule="exact"/>
        <w:ind w:hanging="767"/>
        <w:jc w:val="left"/>
        <w:textAlignment w:val="baseline"/>
        <w:rPr>
          <w:rFonts w:ascii="宋体" w:hAnsi="宋体" w:cs="宋体"/>
          <w:snapToGrid w:val="0"/>
          <w:color w:val="000000"/>
          <w:kern w:val="0"/>
          <w:szCs w:val="21"/>
        </w:rPr>
      </w:pPr>
      <w:r>
        <w:rPr>
          <w:rFonts w:hint="eastAsia" w:ascii="宋体" w:hAnsi="宋体" w:cs="宋体"/>
          <w:snapToGrid w:val="0"/>
          <w:color w:val="000000"/>
          <w:kern w:val="0"/>
          <w:szCs w:val="21"/>
        </w:rPr>
        <w:t>按照委托人签订的工程保险合同，做好施工现场工程保险合同的管理。协助委托人向保险</w:t>
      </w:r>
    </w:p>
    <w:p>
      <w:pPr>
        <w:widowControl/>
        <w:kinsoku w:val="0"/>
        <w:autoSpaceDE w:val="0"/>
        <w:autoSpaceDN w:val="0"/>
        <w:adjustRightInd w:val="0"/>
        <w:snapToGrid w:val="0"/>
        <w:spacing w:line="400" w:lineRule="exact"/>
        <w:jc w:val="left"/>
        <w:textAlignment w:val="baseline"/>
        <w:rPr>
          <w:szCs w:val="21"/>
        </w:rPr>
      </w:pPr>
      <w:r>
        <w:rPr>
          <w:rFonts w:hint="eastAsia" w:ascii="宋体" w:hAnsi="宋体" w:cs="宋体"/>
          <w:snapToGrid w:val="0"/>
          <w:color w:val="000000"/>
          <w:kern w:val="0"/>
          <w:szCs w:val="21"/>
        </w:rPr>
        <w:t xml:space="preserve">公司及时提供一切必要的材料和证据。 </w:t>
      </w:r>
    </w:p>
    <w:p>
      <w:pPr>
        <w:widowControl/>
        <w:numPr>
          <w:ilvl w:val="0"/>
          <w:numId w:val="17"/>
        </w:numPr>
        <w:kinsoku w:val="0"/>
        <w:autoSpaceDE w:val="0"/>
        <w:autoSpaceDN w:val="0"/>
        <w:adjustRightInd w:val="0"/>
        <w:snapToGrid w:val="0"/>
        <w:spacing w:line="400" w:lineRule="exact"/>
        <w:ind w:left="7" w:firstLine="413"/>
        <w:jc w:val="left"/>
        <w:textAlignment w:val="baseline"/>
        <w:rPr>
          <w:szCs w:val="21"/>
        </w:rPr>
      </w:pPr>
      <w:r>
        <w:rPr>
          <w:rFonts w:hint="eastAsia" w:ascii="宋体" w:hAnsi="宋体" w:cs="宋体"/>
          <w:snapToGrid w:val="0"/>
          <w:color w:val="000000"/>
          <w:kern w:val="0"/>
          <w:szCs w:val="21"/>
        </w:rPr>
        <w:t xml:space="preserve">协调标段范围内所有各参建单位的关系，包括但不限于外部单位与本工程交叉的协调工作，委托人所招标的其他单位与本工程项目单位之间的协调等。 </w:t>
      </w:r>
    </w:p>
    <w:p>
      <w:pPr>
        <w:widowControl/>
        <w:kinsoku w:val="0"/>
        <w:autoSpaceDE w:val="0"/>
        <w:autoSpaceDN w:val="0"/>
        <w:adjustRightInd w:val="0"/>
        <w:snapToGrid w:val="0"/>
        <w:spacing w:line="400" w:lineRule="exact"/>
        <w:ind w:firstLine="420" w:firstLineChars="200"/>
        <w:jc w:val="left"/>
        <w:textAlignment w:val="baseline"/>
        <w:rPr>
          <w:szCs w:val="21"/>
        </w:rPr>
      </w:pPr>
      <w:r>
        <w:rPr>
          <w:rFonts w:hint="eastAsia" w:ascii="宋体" w:hAnsi="宋体" w:cs="宋体"/>
          <w:snapToGrid w:val="0"/>
          <w:color w:val="000000"/>
          <w:kern w:val="0"/>
          <w:szCs w:val="21"/>
        </w:rPr>
        <w:t xml:space="preserve">（7）按照施工作业程序，采取旁站、巡视、跟踪检测和平行检测等方法实施监理。 需旁站监理的工程重要部位按国家或行业有规定的及委托人要求执行。需旁站监理的关键工序指监理人根据工程重要程度在监理大纲中明确并经委托人批准的工序。 </w:t>
      </w:r>
    </w:p>
    <w:p>
      <w:pPr>
        <w:widowControl/>
        <w:kinsoku w:val="0"/>
        <w:autoSpaceDE w:val="0"/>
        <w:autoSpaceDN w:val="0"/>
        <w:adjustRightInd w:val="0"/>
        <w:snapToGrid w:val="0"/>
        <w:spacing w:line="400" w:lineRule="exact"/>
        <w:ind w:firstLine="420" w:firstLineChars="200"/>
        <w:jc w:val="left"/>
        <w:textAlignment w:val="baseline"/>
        <w:rPr>
          <w:szCs w:val="21"/>
        </w:rPr>
      </w:pPr>
      <w:r>
        <w:rPr>
          <w:rFonts w:hint="eastAsia" w:ascii="宋体" w:hAnsi="宋体" w:cs="宋体"/>
          <w:snapToGrid w:val="0"/>
          <w:color w:val="000000"/>
          <w:kern w:val="0"/>
          <w:szCs w:val="21"/>
        </w:rPr>
        <w:t xml:space="preserve">承包人进场后一个月内、原始地貌未被破坏前，由监理人委托具有相应测量资质、经委托人认可的第三方测量单位，按不大于50m一个断面对原始地形进行全面复测，并留下原始影像资料，每天测量原始数据当天共同确认。此工作由监理人牵头，勘察设计单位、全过程造价咨询单位、施工承包人及委托人共同参与。外业测量完成后20天内，监理人向委托人提交由监理人与其委托的有资质测量单位及勘察设计单位、全过程造价咨询单位、承包人共同盖章确认的测量成果资料（包括断面图和工程量计算书等）。本项工作费用包含在签约合同价中，委托人不单独支付。 </w:t>
      </w:r>
    </w:p>
    <w:p>
      <w:pPr>
        <w:widowControl/>
        <w:kinsoku w:val="0"/>
        <w:autoSpaceDE w:val="0"/>
        <w:autoSpaceDN w:val="0"/>
        <w:adjustRightInd w:val="0"/>
        <w:snapToGrid w:val="0"/>
        <w:spacing w:line="400" w:lineRule="exact"/>
        <w:ind w:firstLine="420" w:firstLineChars="200"/>
        <w:jc w:val="left"/>
        <w:textAlignment w:val="baseline"/>
        <w:rPr>
          <w:szCs w:val="21"/>
        </w:rPr>
      </w:pPr>
      <w:r>
        <w:rPr>
          <w:rFonts w:hint="eastAsia" w:ascii="宋体" w:hAnsi="宋体" w:cs="宋体"/>
          <w:snapToGrid w:val="0"/>
          <w:color w:val="000000"/>
          <w:kern w:val="0"/>
          <w:szCs w:val="21"/>
        </w:rPr>
        <w:t xml:space="preserve">（8）及时做好工程施工过程各种监理信息的收集、整理和归档，并保证现场记录、试验、检验、检查等资料的完整和真实。 </w:t>
      </w:r>
    </w:p>
    <w:p>
      <w:pPr>
        <w:widowControl/>
        <w:kinsoku w:val="0"/>
        <w:autoSpaceDE w:val="0"/>
        <w:autoSpaceDN w:val="0"/>
        <w:adjustRightInd w:val="0"/>
        <w:snapToGrid w:val="0"/>
        <w:spacing w:line="400" w:lineRule="exact"/>
        <w:ind w:firstLine="420" w:firstLineChars="200"/>
        <w:jc w:val="left"/>
        <w:textAlignment w:val="baseline"/>
        <w:rPr>
          <w:szCs w:val="21"/>
        </w:rPr>
      </w:pPr>
      <w:r>
        <w:rPr>
          <w:rFonts w:hint="eastAsia" w:ascii="宋体" w:hAnsi="宋体" w:cs="宋体"/>
          <w:snapToGrid w:val="0"/>
          <w:color w:val="000000"/>
          <w:kern w:val="0"/>
          <w:szCs w:val="21"/>
        </w:rPr>
        <w:t xml:space="preserve">（9）编制《监理日志》，并向委托人提交监理月报、监理专题报告、监理工作报告和监理工作总结报告。 </w:t>
      </w:r>
    </w:p>
    <w:p>
      <w:pPr>
        <w:widowControl/>
        <w:kinsoku w:val="0"/>
        <w:autoSpaceDE w:val="0"/>
        <w:autoSpaceDN w:val="0"/>
        <w:adjustRightInd w:val="0"/>
        <w:snapToGrid w:val="0"/>
        <w:spacing w:line="400" w:lineRule="exact"/>
        <w:ind w:firstLine="420" w:firstLineChars="200"/>
        <w:jc w:val="left"/>
        <w:textAlignment w:val="baseline"/>
        <w:rPr>
          <w:szCs w:val="21"/>
        </w:rPr>
      </w:pPr>
      <w:r>
        <w:rPr>
          <w:rFonts w:hint="eastAsia" w:ascii="宋体" w:hAnsi="宋体" w:cs="宋体"/>
          <w:snapToGrid w:val="0"/>
          <w:color w:val="000000"/>
          <w:kern w:val="0"/>
          <w:szCs w:val="21"/>
        </w:rPr>
        <w:t xml:space="preserve">（10）按有关规定参加工程验收，做好相关配合工作。委托人委托监理人主持所有分部工 程验收。 </w:t>
      </w:r>
    </w:p>
    <w:p>
      <w:pPr>
        <w:widowControl/>
        <w:kinsoku w:val="0"/>
        <w:autoSpaceDE w:val="0"/>
        <w:autoSpaceDN w:val="0"/>
        <w:adjustRightInd w:val="0"/>
        <w:snapToGrid w:val="0"/>
        <w:spacing w:line="400" w:lineRule="exact"/>
        <w:ind w:firstLine="420" w:firstLineChars="200"/>
        <w:jc w:val="left"/>
        <w:textAlignment w:val="baseline"/>
        <w:rPr>
          <w:szCs w:val="21"/>
        </w:rPr>
      </w:pPr>
      <w:r>
        <w:rPr>
          <w:rFonts w:hint="eastAsia" w:ascii="宋体" w:hAnsi="宋体" w:cs="宋体"/>
          <w:snapToGrid w:val="0"/>
          <w:color w:val="000000"/>
          <w:kern w:val="0"/>
          <w:szCs w:val="21"/>
        </w:rPr>
        <w:t xml:space="preserve">（11）妥善做好委托人所提供的工程建设文件资料的保存、回收及保密工作。在本合同终止后3年内，未征得委托人同意，不得公开涉及委托人的专利、专有技术或其他需保密的资料，不得泄露与本合同业务有关的技术、商务等秘密。监理人须按照现行《水利水电建设工程验收规程》、《水利工程建设项目档案管理规定》等相关规定收集整理工程竣工资料和相应电子信息化台账，原件壹套存放庐江县水务局档案室（其中按档案归档规定制作电子版文件须提供两套）。 </w:t>
      </w:r>
    </w:p>
    <w:p>
      <w:pPr>
        <w:widowControl/>
        <w:kinsoku w:val="0"/>
        <w:autoSpaceDE w:val="0"/>
        <w:autoSpaceDN w:val="0"/>
        <w:adjustRightInd w:val="0"/>
        <w:snapToGrid w:val="0"/>
        <w:spacing w:line="400" w:lineRule="exact"/>
        <w:ind w:firstLine="420" w:firstLineChars="200"/>
        <w:jc w:val="left"/>
        <w:textAlignment w:val="baseline"/>
        <w:rPr>
          <w:szCs w:val="21"/>
        </w:rPr>
      </w:pPr>
      <w:r>
        <w:rPr>
          <w:rFonts w:hint="eastAsia" w:ascii="宋体" w:hAnsi="宋体" w:cs="宋体"/>
          <w:snapToGrid w:val="0"/>
          <w:color w:val="000000"/>
          <w:kern w:val="0"/>
          <w:szCs w:val="21"/>
        </w:rPr>
        <w:t>水利工程建设项目重要活动及事件，原始地形地貌，工程形象进度，隐蔽工程，关键节点工序，重要部位，地质、施工及设备缺陷处理，工程质量或安全事故，重要芯样，工程验收等，必须形成照片和音视频文件。应监督承包人按要求及时留存工程影像资料，应监督承包人在工程开工前、完工后提供工程全部范围内完整的连续的航拍影像。监理人、承包人等工程参建单位留存的工程影像资料应具备主体鲜明、影像清晰、画面完整等特点。数码照片分辨率不应小于 800 万像素（3264×2448）；工程录像资料动态视频输出尺寸不低于 480P(720×480)。同一拍摄对象应提供不同角度、景别、阶段的影像资料。拍摄的角度、方式等应能保证影像资料反映的拍摄对象的整体状况或所验收部位的质量状况，并具备代表性。</w:t>
      </w:r>
    </w:p>
    <w:p>
      <w:pPr>
        <w:pStyle w:val="11"/>
        <w:widowControl/>
        <w:kinsoku w:val="0"/>
        <w:autoSpaceDE w:val="0"/>
        <w:autoSpaceDN w:val="0"/>
        <w:adjustRightInd w:val="0"/>
        <w:snapToGrid w:val="0"/>
        <w:spacing w:line="400" w:lineRule="exact"/>
        <w:ind w:left="238"/>
        <w:textAlignment w:val="baseline"/>
        <w:rPr>
          <w:szCs w:val="21"/>
        </w:rPr>
      </w:pPr>
      <w:r>
        <w:rPr>
          <w:szCs w:val="21"/>
        </w:rPr>
        <w:t xml:space="preserve">4.1.4 其他义务 </w:t>
      </w:r>
    </w:p>
    <w:p>
      <w:pPr>
        <w:pStyle w:val="11"/>
        <w:widowControl/>
        <w:kinsoku w:val="0"/>
        <w:autoSpaceDE w:val="0"/>
        <w:autoSpaceDN w:val="0"/>
        <w:adjustRightInd w:val="0"/>
        <w:snapToGrid w:val="0"/>
        <w:spacing w:line="400" w:lineRule="exact"/>
        <w:ind w:left="238"/>
        <w:textAlignment w:val="baseline"/>
        <w:rPr>
          <w:szCs w:val="21"/>
        </w:rPr>
      </w:pPr>
      <w:r>
        <w:rPr>
          <w:szCs w:val="21"/>
        </w:rPr>
        <w:t>监 理 人 应 履 行 的 其 他 义 务 ：</w:t>
      </w:r>
    </w:p>
    <w:p>
      <w:pPr>
        <w:widowControl/>
        <w:kinsoku w:val="0"/>
        <w:autoSpaceDE w:val="0"/>
        <w:autoSpaceDN w:val="0"/>
        <w:adjustRightInd w:val="0"/>
        <w:snapToGrid w:val="0"/>
        <w:spacing w:line="400" w:lineRule="exact"/>
        <w:ind w:firstLine="440" w:firstLineChars="200"/>
        <w:jc w:val="left"/>
        <w:textAlignment w:val="baseline"/>
      </w:pPr>
      <w:r>
        <w:rPr>
          <w:rFonts w:hint="eastAsia" w:ascii="宋体" w:hAnsi="宋体" w:cs="宋体"/>
          <w:snapToGrid w:val="0"/>
          <w:color w:val="000000"/>
          <w:kern w:val="0"/>
          <w:sz w:val="22"/>
          <w:szCs w:val="22"/>
        </w:rPr>
        <w:t xml:space="preserve">（1）设备设施及交通要求 </w:t>
      </w:r>
    </w:p>
    <w:p>
      <w:pPr>
        <w:widowControl/>
        <w:kinsoku w:val="0"/>
        <w:autoSpaceDE w:val="0"/>
        <w:autoSpaceDN w:val="0"/>
        <w:adjustRightInd w:val="0"/>
        <w:snapToGrid w:val="0"/>
        <w:spacing w:line="400" w:lineRule="exact"/>
        <w:ind w:firstLine="440" w:firstLineChars="200"/>
        <w:jc w:val="left"/>
        <w:textAlignment w:val="baseline"/>
        <w:rPr>
          <w:rFonts w:ascii="宋体" w:hAnsi="宋体" w:cs="宋体"/>
          <w:snapToGrid w:val="0"/>
          <w:color w:val="000000"/>
          <w:kern w:val="0"/>
          <w:sz w:val="22"/>
          <w:szCs w:val="22"/>
        </w:rPr>
      </w:pPr>
      <w:r>
        <w:rPr>
          <w:rFonts w:hint="eastAsia" w:ascii="宋体" w:hAnsi="宋体" w:cs="宋体"/>
          <w:snapToGrid w:val="0"/>
          <w:color w:val="000000"/>
          <w:kern w:val="0"/>
          <w:sz w:val="22"/>
          <w:szCs w:val="22"/>
        </w:rPr>
        <w:t>监理人驻地房屋及办公、试验测量、生活、交通工具、通讯等设施设备均自行解决，包含在签约合同价中，监理人应按国家及地方有关规定要求执行。</w:t>
      </w:r>
    </w:p>
    <w:p>
      <w:pPr>
        <w:widowControl/>
        <w:kinsoku w:val="0"/>
        <w:autoSpaceDE w:val="0"/>
        <w:autoSpaceDN w:val="0"/>
        <w:adjustRightInd w:val="0"/>
        <w:snapToGrid w:val="0"/>
        <w:spacing w:line="400" w:lineRule="exact"/>
        <w:ind w:firstLine="220" w:firstLineChars="100"/>
        <w:jc w:val="left"/>
        <w:textAlignment w:val="baseline"/>
      </w:pPr>
      <w:r>
        <w:rPr>
          <w:rFonts w:hint="eastAsia" w:ascii="宋体" w:hAnsi="宋体" w:cs="宋体"/>
          <w:snapToGrid w:val="0"/>
          <w:color w:val="000000"/>
          <w:kern w:val="0"/>
          <w:sz w:val="22"/>
          <w:szCs w:val="22"/>
        </w:rPr>
        <w:t xml:space="preserve">（2）按照委托人要求，每月对施工单位合同工程款使用管理情况进行检查，包括：工程款是否专户存储、是否专款专用，是否有转移、挪用现象，是否有资金被其集团公司集中、调用现象等。发现工程款有转移、挪用及被其集团公司集中调占用的，需立即书面报告委托人。并在施工单位合同款申请支付证书上签署上月检查结果。 </w:t>
      </w:r>
    </w:p>
    <w:p>
      <w:pPr>
        <w:pStyle w:val="6"/>
        <w:keepNext w:val="0"/>
        <w:keepLines w:val="0"/>
        <w:widowControl/>
        <w:numPr>
          <w:ilvl w:val="1"/>
          <w:numId w:val="19"/>
        </w:numPr>
        <w:tabs>
          <w:tab w:val="left" w:pos="801"/>
        </w:tabs>
        <w:kinsoku w:val="0"/>
        <w:autoSpaceDE w:val="0"/>
        <w:autoSpaceDN w:val="0"/>
        <w:snapToGrid w:val="0"/>
        <w:spacing w:before="61" w:line="400" w:lineRule="exact"/>
        <w:ind w:hanging="426"/>
      </w:pPr>
      <w:bookmarkStart w:id="156" w:name="_bookmark189"/>
      <w:bookmarkEnd w:id="156"/>
      <w:r>
        <w:t>履约保证金</w:t>
      </w:r>
    </w:p>
    <w:p>
      <w:pPr>
        <w:widowControl/>
        <w:kinsoku w:val="0"/>
        <w:autoSpaceDE w:val="0"/>
        <w:autoSpaceDN w:val="0"/>
        <w:adjustRightInd w:val="0"/>
        <w:snapToGrid w:val="0"/>
        <w:spacing w:line="400" w:lineRule="exact"/>
        <w:jc w:val="left"/>
        <w:textAlignment w:val="baseline"/>
        <w:rPr>
          <w:u w:val="single"/>
        </w:rPr>
      </w:pPr>
      <w:r>
        <w:rPr>
          <w:rFonts w:hint="eastAsia" w:ascii="宋体" w:hAnsi="宋体" w:cs="宋体"/>
          <w:snapToGrid w:val="0"/>
          <w:color w:val="000000"/>
          <w:kern w:val="0"/>
          <w:szCs w:val="21"/>
        </w:rPr>
        <w:t>关于履约保证金时限的约定：</w:t>
      </w:r>
      <w:r>
        <w:rPr>
          <w:rFonts w:hint="eastAsia" w:ascii="宋体" w:hAnsi="宋体" w:cs="宋体"/>
          <w:snapToGrid w:val="0"/>
          <w:color w:val="000000"/>
          <w:kern w:val="0"/>
          <w:szCs w:val="21"/>
          <w:u w:val="single"/>
        </w:rPr>
        <w:t>签订合同前，投标人应提交履约保证金。履约保证金金额、收受方式及收受人见投标人须知前附表规定；如果中标人未按规定交纳履约保证金，招标人有权取消该授标，并没收其投标保证金。在此情况下招标人可将该标授予其下一个中标候选人。</w:t>
      </w:r>
      <w:r>
        <w:rPr>
          <w:rFonts w:hint="eastAsia" w:ascii="宋体" w:hAnsi="宋体" w:cs="宋体"/>
          <w:snapToGrid w:val="0"/>
          <w:color w:val="000000"/>
          <w:kern w:val="0"/>
          <w:szCs w:val="21"/>
        </w:rPr>
        <w:t>履约保证金到期后，委托人在接到监理人书面申请后，扣除违约金部分（如有），于 28 天内一次性无息退还。</w:t>
      </w:r>
    </w:p>
    <w:p>
      <w:pPr>
        <w:pStyle w:val="11"/>
        <w:rPr>
          <w:sz w:val="20"/>
        </w:rPr>
      </w:pPr>
    </w:p>
    <w:p>
      <w:pPr>
        <w:pStyle w:val="6"/>
        <w:numPr>
          <w:ilvl w:val="1"/>
          <w:numId w:val="21"/>
        </w:numPr>
        <w:tabs>
          <w:tab w:val="left" w:pos="801"/>
        </w:tabs>
        <w:ind w:hanging="426"/>
      </w:pPr>
      <w:bookmarkStart w:id="157" w:name="_bookmark190"/>
      <w:bookmarkEnd w:id="157"/>
      <w:r>
        <w:t>总监理工程师</w:t>
      </w:r>
    </w:p>
    <w:p>
      <w:pPr>
        <w:pStyle w:val="11"/>
        <w:spacing w:before="2"/>
        <w:rPr>
          <w:b/>
          <w:sz w:val="29"/>
        </w:rPr>
      </w:pPr>
    </w:p>
    <w:p>
      <w:pPr>
        <w:pStyle w:val="107"/>
        <w:numPr>
          <w:ilvl w:val="2"/>
          <w:numId w:val="21"/>
        </w:numPr>
        <w:tabs>
          <w:tab w:val="left" w:pos="1307"/>
        </w:tabs>
        <w:ind w:left="883" w:leftChars="200" w:hanging="463" w:hangingChars="227"/>
      </w:pPr>
      <w:r>
        <w:rPr>
          <w:spacing w:val="-3"/>
        </w:rPr>
        <w:t>总监理工程师及其他主要监理人员的变更：</w:t>
      </w:r>
    </w:p>
    <w:p>
      <w:pPr>
        <w:pStyle w:val="11"/>
        <w:spacing w:before="49"/>
        <w:ind w:left="238"/>
      </w:pPr>
      <w:r>
        <w:t xml:space="preserve">投标文件承诺的监理部主要监理人员（见本合同第 </w:t>
      </w:r>
      <w:r>
        <w:rPr>
          <w:rFonts w:ascii="Calibri" w:eastAsia="Calibri"/>
        </w:rPr>
        <w:t xml:space="preserve">4.5.2 </w:t>
      </w:r>
      <w:r>
        <w:t xml:space="preserve">项）在主体工程施工期间原则上不得更换。如发生下列情形之一的，应当办理书面手续后方能变更人员： </w:t>
      </w:r>
    </w:p>
    <w:p>
      <w:pPr>
        <w:pStyle w:val="107"/>
        <w:numPr>
          <w:ilvl w:val="0"/>
          <w:numId w:val="22"/>
        </w:numPr>
        <w:tabs>
          <w:tab w:val="left" w:pos="1174"/>
        </w:tabs>
        <w:spacing w:before="130" w:line="357" w:lineRule="auto"/>
        <w:ind w:right="36" w:firstLine="416"/>
      </w:pPr>
      <w:r>
        <w:rPr>
          <w:spacing w:val="-1"/>
        </w:rPr>
        <w:t>因管理人员重大疾病、死亡、调离所在单位、辞职、犯罪、移民等特殊原因确须变更,提</w:t>
      </w:r>
      <w:r>
        <w:rPr>
          <w:spacing w:val="-3"/>
        </w:rPr>
        <w:t>供相关证明材料，且经发包方同意更换的；</w:t>
      </w:r>
    </w:p>
    <w:p>
      <w:pPr>
        <w:pStyle w:val="107"/>
        <w:numPr>
          <w:ilvl w:val="0"/>
          <w:numId w:val="22"/>
        </w:numPr>
        <w:tabs>
          <w:tab w:val="left" w:pos="1060"/>
        </w:tabs>
        <w:spacing w:line="269" w:lineRule="exact"/>
        <w:ind w:left="828" w:leftChars="200" w:hanging="408" w:hangingChars="200"/>
      </w:pPr>
      <w:r>
        <w:rPr>
          <w:spacing w:val="-3"/>
        </w:rPr>
        <w:t>因不可抗力等特殊情况必须更换的。</w:t>
      </w:r>
    </w:p>
    <w:p>
      <w:pPr>
        <w:pStyle w:val="11"/>
        <w:spacing w:before="129" w:line="357" w:lineRule="auto"/>
        <w:ind w:left="238" w:right="36" w:firstLine="489"/>
      </w:pPr>
      <w:r>
        <w:t>除上述情况外，监理部更换总监每次支付违约金</w:t>
      </w:r>
      <w:r>
        <w:rPr>
          <w:rFonts w:hint="eastAsia"/>
          <w:b/>
          <w:bCs/>
          <w:u w:val="single"/>
        </w:rPr>
        <w:t>5</w:t>
      </w:r>
      <w:r>
        <w:t>万元，更换监理工程师每人次支付违约金</w:t>
      </w:r>
      <w:r>
        <w:rPr>
          <w:rFonts w:hint="eastAsia"/>
          <w:b/>
          <w:bCs/>
          <w:u w:val="single"/>
        </w:rPr>
        <w:t>2</w:t>
      </w:r>
      <w:r>
        <w:t xml:space="preserve">万元。 </w:t>
      </w:r>
    </w:p>
    <w:p>
      <w:pPr>
        <w:pStyle w:val="11"/>
        <w:spacing w:line="357" w:lineRule="auto"/>
        <w:ind w:left="238" w:right="36" w:firstLine="424"/>
      </w:pPr>
      <w:r>
        <w:rPr>
          <w:spacing w:val="-4"/>
        </w:rPr>
        <w:t>监理人进行上述人员更换的，均需通过委托人批准，委托人认为人员资格、能力不能满足监理工作需要或低于原人员资格、能力的，委托人有权要求监理人再更换，监理人不能满足要求的，委</w:t>
      </w:r>
      <w:r>
        <w:rPr>
          <w:spacing w:val="-6"/>
        </w:rPr>
        <w:t xml:space="preserve">托人有权解除合同，监理人还应承担监理服务酬金 </w:t>
      </w:r>
      <w:r>
        <w:t>10%</w:t>
      </w:r>
      <w:r>
        <w:rPr>
          <w:spacing w:val="-3"/>
        </w:rPr>
        <w:t>的违约金。</w:t>
      </w:r>
    </w:p>
    <w:p>
      <w:pPr>
        <w:pStyle w:val="11"/>
        <w:spacing w:line="267" w:lineRule="exact"/>
        <w:ind w:left="658"/>
      </w:pPr>
      <w:r>
        <w:t>4.4.4 总监理工程师可以授权其下属人员履行其职责的范围：</w:t>
      </w:r>
      <w:r>
        <w:rPr>
          <w:rFonts w:hint="eastAsia"/>
          <w:u w:val="single"/>
        </w:rPr>
        <w:t xml:space="preserve">   按有关水利规范执行   </w:t>
      </w:r>
      <w:r>
        <w:t xml:space="preserve"> 。 </w:t>
      </w:r>
    </w:p>
    <w:p>
      <w:pPr>
        <w:pStyle w:val="11"/>
        <w:spacing w:before="1"/>
        <w:rPr>
          <w:sz w:val="17"/>
        </w:rPr>
      </w:pPr>
    </w:p>
    <w:p>
      <w:pPr>
        <w:pStyle w:val="6"/>
        <w:numPr>
          <w:ilvl w:val="1"/>
          <w:numId w:val="21"/>
        </w:numPr>
        <w:tabs>
          <w:tab w:val="left" w:pos="801"/>
        </w:tabs>
        <w:spacing w:before="61"/>
        <w:ind w:hanging="426"/>
        <w:rPr>
          <w:sz w:val="20"/>
        </w:rPr>
      </w:pPr>
      <w:bookmarkStart w:id="158" w:name="_bookmark191"/>
      <w:bookmarkEnd w:id="158"/>
      <w:r>
        <w:t>监理人员的管理</w:t>
      </w:r>
    </w:p>
    <w:p>
      <w:pPr>
        <w:pStyle w:val="107"/>
        <w:numPr>
          <w:ilvl w:val="2"/>
          <w:numId w:val="21"/>
        </w:numPr>
        <w:tabs>
          <w:tab w:val="left" w:pos="1238"/>
        </w:tabs>
        <w:spacing w:line="367" w:lineRule="auto"/>
        <w:ind w:left="238" w:right="36" w:firstLine="408"/>
      </w:pPr>
      <w:r>
        <w:rPr>
          <w:spacing w:val="-3"/>
        </w:rPr>
        <w:t>监理人应在接到开始监理通知之日起</w:t>
      </w:r>
      <w:r>
        <w:rPr>
          <w:rFonts w:hint="eastAsia"/>
          <w:b/>
          <w:spacing w:val="-3"/>
          <w:u w:val="single"/>
        </w:rPr>
        <w:t xml:space="preserve">7 </w:t>
      </w:r>
      <w:r>
        <w:rPr>
          <w:spacing w:val="-3"/>
        </w:rPr>
        <w:t xml:space="preserve">日内组建监理机构，并按照投标文件中的人员进场计划安排有关人员进驻现场，且进场人员必须能够满足工程建设监理工作需要。 </w:t>
      </w:r>
    </w:p>
    <w:p>
      <w:pPr>
        <w:pStyle w:val="107"/>
        <w:numPr>
          <w:ilvl w:val="2"/>
          <w:numId w:val="21"/>
        </w:numPr>
        <w:tabs>
          <w:tab w:val="left" w:pos="1238"/>
        </w:tabs>
        <w:spacing w:line="264" w:lineRule="exact"/>
        <w:ind w:left="815" w:leftChars="200" w:hanging="395" w:hangingChars="194"/>
      </w:pPr>
      <w:r>
        <w:rPr>
          <w:spacing w:val="-3"/>
        </w:rPr>
        <w:t>主要监理人员包括：</w:t>
      </w:r>
      <w:r>
        <w:rPr>
          <w:spacing w:val="-3"/>
          <w:u w:val="single"/>
        </w:rPr>
        <w:t>总监理工程师、监理工程师</w:t>
      </w:r>
      <w:r>
        <w:rPr>
          <w:spacing w:val="21"/>
          <w:u w:val="single"/>
        </w:rPr>
        <w:t xml:space="preserve">。 </w:t>
      </w:r>
    </w:p>
    <w:p>
      <w:pPr>
        <w:pStyle w:val="6"/>
        <w:ind w:left="375"/>
        <w:rPr>
          <w:sz w:val="20"/>
        </w:rPr>
      </w:pPr>
      <w:bookmarkStart w:id="159" w:name="_bookmark192"/>
      <w:bookmarkEnd w:id="159"/>
      <w:r>
        <w:t>4.7 保障人员的合法权益</w:t>
      </w:r>
    </w:p>
    <w:p>
      <w:pPr>
        <w:pStyle w:val="11"/>
        <w:ind w:left="658"/>
      </w:pPr>
      <w:r>
        <w:t xml:space="preserve">4.7.3 监理人还应为其现场监理人员投保人身意外伤害险和第三者责任险。 </w:t>
      </w:r>
    </w:p>
    <w:p>
      <w:pPr>
        <w:pStyle w:val="11"/>
        <w:rPr>
          <w:sz w:val="20"/>
        </w:rPr>
      </w:pPr>
    </w:p>
    <w:p>
      <w:pPr>
        <w:pStyle w:val="4"/>
        <w:numPr>
          <w:ilvl w:val="0"/>
          <w:numId w:val="19"/>
        </w:numPr>
        <w:tabs>
          <w:tab w:val="left" w:pos="561"/>
        </w:tabs>
        <w:spacing w:before="143"/>
        <w:ind w:left="560" w:hanging="323"/>
        <w:jc w:val="left"/>
      </w:pPr>
      <w:bookmarkStart w:id="160" w:name="_bookmark193"/>
      <w:bookmarkEnd w:id="160"/>
      <w:r>
        <w:t>监理要求</w:t>
      </w:r>
    </w:p>
    <w:p>
      <w:pPr>
        <w:pStyle w:val="6"/>
        <w:numPr>
          <w:ilvl w:val="1"/>
          <w:numId w:val="19"/>
        </w:numPr>
        <w:tabs>
          <w:tab w:val="left" w:pos="801"/>
        </w:tabs>
        <w:spacing w:before="266"/>
        <w:ind w:hanging="426"/>
        <w:rPr>
          <w:sz w:val="20"/>
        </w:rPr>
      </w:pPr>
      <w:bookmarkStart w:id="161" w:name="_bookmark194"/>
      <w:bookmarkEnd w:id="161"/>
      <w:r>
        <w:rPr>
          <w:spacing w:val="-1"/>
        </w:rPr>
        <w:t>监理范围</w:t>
      </w:r>
    </w:p>
    <w:p>
      <w:pPr>
        <w:pStyle w:val="11"/>
        <w:spacing w:before="1" w:line="360" w:lineRule="auto"/>
        <w:ind w:firstLine="420" w:firstLineChars="200"/>
      </w:pPr>
      <w:r>
        <w:t>5.1.2</w:t>
      </w:r>
      <w:r>
        <w:rPr>
          <w:spacing w:val="-3"/>
        </w:rPr>
        <w:t xml:space="preserve"> 监 理 的 工 程 范 围 ：</w:t>
      </w:r>
      <w:r>
        <w:rPr>
          <w:rFonts w:hint="eastAsia"/>
          <w:spacing w:val="-3"/>
          <w:u w:val="single"/>
        </w:rPr>
        <w:t>本次监理工程主要范围为初设批复工程施工全过程监理。在项目实施中如有增减项，中标人的服务内容则相应予以增加或减少，并作为本次招标的组成部分，总费用按合同约定执行。工程施工监理具体内容详见施工设计图内容和有关说明。</w:t>
      </w:r>
    </w:p>
    <w:p>
      <w:pPr>
        <w:pStyle w:val="11"/>
        <w:spacing w:before="139" w:line="360" w:lineRule="auto"/>
        <w:ind w:firstLine="420" w:firstLineChars="200"/>
      </w:pPr>
      <w:r>
        <w:t>5.1.3</w:t>
      </w:r>
      <w:r>
        <w:rPr>
          <w:spacing w:val="-3"/>
        </w:rPr>
        <w:t xml:space="preserve"> 监 理 的 阶 段 范 围 ：</w:t>
      </w:r>
      <w:r>
        <w:rPr>
          <w:rFonts w:hint="eastAsia"/>
          <w:spacing w:val="-3"/>
          <w:u w:val="single"/>
        </w:rPr>
        <w:t>施工阶段及缺陷责任期</w:t>
      </w:r>
      <w:r>
        <w:t xml:space="preserve">。 </w:t>
      </w:r>
    </w:p>
    <w:p>
      <w:pPr>
        <w:pStyle w:val="107"/>
        <w:numPr>
          <w:ilvl w:val="2"/>
          <w:numId w:val="23"/>
        </w:numPr>
        <w:tabs>
          <w:tab w:val="left" w:pos="1188"/>
        </w:tabs>
        <w:spacing w:before="131" w:line="348" w:lineRule="auto"/>
        <w:ind w:left="10" w:right="36" w:firstLine="620" w:firstLineChars="0"/>
        <w:jc w:val="both"/>
        <w:rPr>
          <w:b/>
          <w:i/>
        </w:rPr>
      </w:pPr>
      <w:r>
        <w:rPr>
          <w:spacing w:val="-2"/>
        </w:rPr>
        <w:t>监理的工作范围：</w:t>
      </w:r>
      <w:r>
        <w:rPr>
          <w:rFonts w:hint="eastAsia"/>
          <w:spacing w:val="-3"/>
          <w:szCs w:val="21"/>
          <w:u w:val="single"/>
        </w:rPr>
        <w:t>指监理工作中的质量控制、进度控制、投资控制、合同管理、信息管理、组织协调和安全监理等</w:t>
      </w:r>
      <w:r>
        <w:rPr>
          <w:rFonts w:hint="eastAsia"/>
          <w:spacing w:val="-3"/>
          <w:szCs w:val="21"/>
        </w:rPr>
        <w:t>。</w:t>
      </w:r>
    </w:p>
    <w:p>
      <w:pPr>
        <w:pStyle w:val="11"/>
        <w:spacing w:before="8"/>
        <w:ind w:left="764"/>
      </w:pPr>
      <w:r>
        <w:t xml:space="preserve">本款补充第 5.1.5 项： </w:t>
      </w:r>
    </w:p>
    <w:p>
      <w:pPr>
        <w:pStyle w:val="107"/>
        <w:numPr>
          <w:ilvl w:val="2"/>
          <w:numId w:val="23"/>
        </w:numPr>
        <w:tabs>
          <w:tab w:val="left" w:pos="1294"/>
        </w:tabs>
        <w:spacing w:before="139" w:line="367" w:lineRule="auto"/>
        <w:ind w:left="0" w:right="36" w:firstLine="420" w:firstLineChars="0"/>
        <w:jc w:val="left"/>
      </w:pPr>
      <w:r>
        <w:rPr>
          <w:spacing w:val="-7"/>
        </w:rPr>
        <w:t>监理人要积极配合委托人对监理工作所进行的监督、检查；工程建设中质量、安全、投</w:t>
      </w:r>
      <w:r>
        <w:rPr>
          <w:spacing w:val="-5"/>
        </w:rPr>
        <w:t>资、进度方面的重大问题要报委托人审批后方可实施。</w:t>
      </w:r>
    </w:p>
    <w:p>
      <w:pPr>
        <w:pStyle w:val="6"/>
        <w:numPr>
          <w:ilvl w:val="1"/>
          <w:numId w:val="19"/>
        </w:numPr>
        <w:tabs>
          <w:tab w:val="left" w:pos="801"/>
        </w:tabs>
        <w:spacing w:before="38"/>
        <w:ind w:hanging="426"/>
        <w:rPr>
          <w:sz w:val="20"/>
        </w:rPr>
      </w:pPr>
      <w:bookmarkStart w:id="162" w:name="_bookmark195"/>
      <w:bookmarkEnd w:id="162"/>
      <w:r>
        <w:rPr>
          <w:spacing w:val="-1"/>
        </w:rPr>
        <w:t>监理依据</w:t>
      </w:r>
    </w:p>
    <w:p>
      <w:pPr>
        <w:pStyle w:val="11"/>
        <w:spacing w:line="367" w:lineRule="auto"/>
        <w:ind w:right="36" w:firstLine="699" w:firstLineChars="343"/>
        <w:rPr>
          <w:sz w:val="20"/>
        </w:rPr>
      </w:pPr>
      <w:r>
        <w:rPr>
          <w:spacing w:val="-3"/>
        </w:rPr>
        <w:t>除通用合同条款规定的监理依据外，本合同的监理依据还应包括以下内容（</w:t>
      </w:r>
      <w:r>
        <w:rPr>
          <w:spacing w:val="-1"/>
        </w:rPr>
        <w:t>但不限于</w:t>
      </w:r>
      <w:r>
        <w:rPr>
          <w:spacing w:val="-108"/>
        </w:rPr>
        <w:t>）</w:t>
      </w:r>
      <w:r>
        <w:rPr>
          <w:spacing w:val="-3"/>
        </w:rPr>
        <w:t>：</w:t>
      </w:r>
      <w:r>
        <w:rPr>
          <w:spacing w:val="-3"/>
          <w:u w:val="single"/>
        </w:rPr>
        <w:t>国家和国务院水行政主管部门有关工程建设的法律、法规及规章；</w:t>
      </w:r>
      <w:r>
        <w:rPr>
          <w:u w:val="single"/>
        </w:rPr>
        <w:t>工程建设标准强制性条文</w:t>
      </w:r>
      <w:r>
        <w:rPr>
          <w:rFonts w:ascii="Calibri" w:eastAsia="Calibri"/>
          <w:u w:val="single"/>
        </w:rPr>
        <w:t>(</w:t>
      </w:r>
      <w:r>
        <w:rPr>
          <w:u w:val="single"/>
        </w:rPr>
        <w:t>水利工程部分</w:t>
      </w:r>
      <w:r>
        <w:rPr>
          <w:rFonts w:ascii="Calibri" w:eastAsia="Calibri"/>
          <w:u w:val="single"/>
        </w:rPr>
        <w:t>)</w:t>
      </w:r>
      <w:r>
        <w:rPr>
          <w:u w:val="single"/>
        </w:rPr>
        <w:t>；</w:t>
      </w:r>
      <w:r>
        <w:rPr>
          <w:spacing w:val="-10"/>
          <w:u w:val="single"/>
        </w:rPr>
        <w:t>《水利工程建设项目施工监理规范》</w:t>
      </w:r>
      <w:r>
        <w:rPr>
          <w:spacing w:val="-1"/>
          <w:u w:val="single"/>
        </w:rPr>
        <w:t>（</w:t>
      </w:r>
      <w:r>
        <w:rPr>
          <w:u w:val="single"/>
        </w:rPr>
        <w:t>SL28</w:t>
      </w:r>
      <w:r>
        <w:rPr>
          <w:spacing w:val="-1"/>
          <w:u w:val="single"/>
        </w:rPr>
        <w:t>8</w:t>
      </w:r>
      <w:r>
        <w:rPr>
          <w:spacing w:val="-108"/>
          <w:u w:val="single"/>
        </w:rPr>
        <w:t>）</w:t>
      </w:r>
      <w:r>
        <w:rPr>
          <w:u w:val="single"/>
        </w:rPr>
        <w:t>；</w:t>
      </w:r>
      <w:r>
        <w:rPr>
          <w:spacing w:val="-9"/>
          <w:u w:val="single"/>
        </w:rPr>
        <w:t>《安徽省中小型水利工程施工监理导则》</w:t>
      </w:r>
      <w:r>
        <w:rPr>
          <w:spacing w:val="-1"/>
          <w:u w:val="single"/>
        </w:rPr>
        <w:t>（</w:t>
      </w:r>
      <w:r>
        <w:rPr>
          <w:u w:val="single"/>
        </w:rPr>
        <w:t>DB</w:t>
      </w:r>
      <w:r>
        <w:rPr>
          <w:spacing w:val="-3"/>
          <w:u w:val="single"/>
        </w:rPr>
        <w:t>3</w:t>
      </w:r>
      <w:r>
        <w:rPr>
          <w:u w:val="single"/>
        </w:rPr>
        <w:t>4/T</w:t>
      </w:r>
      <w:r>
        <w:rPr>
          <w:spacing w:val="-3"/>
          <w:u w:val="single"/>
        </w:rPr>
        <w:t>20</w:t>
      </w:r>
      <w:r>
        <w:rPr>
          <w:u w:val="single"/>
        </w:rPr>
        <w:t>25</w:t>
      </w:r>
      <w:r>
        <w:rPr>
          <w:spacing w:val="-106"/>
          <w:u w:val="single"/>
        </w:rPr>
        <w:t>）</w:t>
      </w:r>
      <w:r>
        <w:rPr>
          <w:spacing w:val="-3"/>
          <w:u w:val="single"/>
        </w:rPr>
        <w:t>；安徽省水行政主管部门有关规范性文件；</w:t>
      </w:r>
      <w:r>
        <w:rPr>
          <w:w w:val="200"/>
        </w:rPr>
        <w:t>„„</w:t>
      </w:r>
      <w:r>
        <w:t xml:space="preserve">合同条款中列明的监理依据均以最新版本为准。 </w:t>
      </w:r>
    </w:p>
    <w:p>
      <w:pPr>
        <w:pStyle w:val="6"/>
        <w:numPr>
          <w:ilvl w:val="1"/>
          <w:numId w:val="19"/>
        </w:numPr>
        <w:tabs>
          <w:tab w:val="left" w:pos="801"/>
        </w:tabs>
        <w:spacing w:before="142"/>
        <w:ind w:hanging="426"/>
        <w:rPr>
          <w:sz w:val="29"/>
        </w:rPr>
      </w:pPr>
      <w:bookmarkStart w:id="163" w:name="_bookmark196"/>
      <w:bookmarkEnd w:id="163"/>
      <w:r>
        <w:rPr>
          <w:spacing w:val="-1"/>
        </w:rPr>
        <w:t>监理内容</w:t>
      </w:r>
    </w:p>
    <w:p>
      <w:pPr>
        <w:pStyle w:val="11"/>
        <w:ind w:left="658"/>
      </w:pPr>
      <w:r>
        <w:t xml:space="preserve">除通用合同条款规定的监理内容外，监理工作内容还包括： </w:t>
      </w:r>
    </w:p>
    <w:p>
      <w:pPr>
        <w:pStyle w:val="11"/>
        <w:spacing w:before="132" w:line="355" w:lineRule="auto"/>
        <w:ind w:left="238" w:right="36" w:firstLine="420"/>
      </w:pPr>
      <w:r>
        <w:rPr>
          <w:spacing w:val="-3"/>
        </w:rPr>
        <w:t>审批施工质量缺陷处理措施计划</w:t>
      </w:r>
      <w:r>
        <w:rPr>
          <w:rFonts w:ascii="Calibri" w:eastAsia="Calibri"/>
        </w:rPr>
        <w:t>,</w:t>
      </w:r>
      <w:r>
        <w:rPr>
          <w:spacing w:val="-9"/>
        </w:rPr>
        <w:t>监督、检查施工质量缺陷处理情况</w:t>
      </w:r>
      <w:r>
        <w:rPr>
          <w:rFonts w:ascii="Calibri" w:eastAsia="Calibri"/>
        </w:rPr>
        <w:t>,</w:t>
      </w:r>
      <w:r>
        <w:rPr>
          <w:spacing w:val="-3"/>
        </w:rPr>
        <w:t>组织施工质量缺陷备案表的填写；</w:t>
      </w:r>
    </w:p>
    <w:p>
      <w:pPr>
        <w:pStyle w:val="11"/>
        <w:spacing w:before="2" w:line="357" w:lineRule="auto"/>
        <w:ind w:left="658" w:right="36"/>
        <w:rPr>
          <w:spacing w:val="-3"/>
        </w:rPr>
      </w:pPr>
      <w:r>
        <w:rPr>
          <w:spacing w:val="-3"/>
        </w:rPr>
        <w:t xml:space="preserve">按有关规定进行进行工程质量评定； 按有关规定组织或参加工程验收；  </w:t>
      </w:r>
    </w:p>
    <w:p>
      <w:pPr>
        <w:pStyle w:val="11"/>
        <w:spacing w:before="2" w:line="357" w:lineRule="auto"/>
        <w:ind w:left="658" w:right="36"/>
      </w:pPr>
      <w:r>
        <w:rPr>
          <w:b/>
          <w:spacing w:val="-3"/>
        </w:rPr>
        <w:t>其他监理工作内容详见附件一</w:t>
      </w:r>
      <w:r>
        <w:rPr>
          <w:spacing w:val="-3"/>
        </w:rPr>
        <w:t>。</w:t>
      </w:r>
    </w:p>
    <w:p>
      <w:pPr>
        <w:pStyle w:val="11"/>
        <w:spacing w:line="267" w:lineRule="exact"/>
        <w:ind w:left="687"/>
      </w:pPr>
      <w:r>
        <w:t xml:space="preserve">监理人在行使下列权利前，必须得到委托人的批准： </w:t>
      </w:r>
    </w:p>
    <w:p>
      <w:pPr>
        <w:pStyle w:val="107"/>
        <w:numPr>
          <w:ilvl w:val="0"/>
          <w:numId w:val="24"/>
        </w:numPr>
        <w:tabs>
          <w:tab w:val="left" w:pos="1260"/>
          <w:tab w:val="left" w:pos="2320"/>
        </w:tabs>
        <w:spacing w:before="132"/>
        <w:ind w:left="793" w:leftChars="200" w:hanging="373" w:hangingChars="183"/>
      </w:pPr>
      <w:r>
        <w:rPr>
          <w:spacing w:val="-3"/>
        </w:rPr>
        <w:t>批准工程的分包；</w:t>
      </w:r>
    </w:p>
    <w:p>
      <w:pPr>
        <w:pStyle w:val="107"/>
        <w:numPr>
          <w:ilvl w:val="0"/>
          <w:numId w:val="24"/>
        </w:numPr>
        <w:tabs>
          <w:tab w:val="left" w:pos="1217"/>
        </w:tabs>
        <w:spacing w:before="129"/>
        <w:ind w:left="374" w:leftChars="178" w:firstLine="44" w:firstLineChars="22"/>
      </w:pPr>
      <w:r>
        <w:rPr>
          <w:spacing w:val="-3"/>
        </w:rPr>
        <w:t>确定延长完工期限；</w:t>
      </w:r>
    </w:p>
    <w:p>
      <w:pPr>
        <w:pStyle w:val="107"/>
        <w:numPr>
          <w:ilvl w:val="0"/>
          <w:numId w:val="24"/>
        </w:numPr>
        <w:tabs>
          <w:tab w:val="left" w:pos="1217"/>
        </w:tabs>
        <w:spacing w:before="132"/>
        <w:ind w:left="793" w:leftChars="200" w:hanging="373" w:hangingChars="183"/>
      </w:pPr>
      <w:r>
        <w:rPr>
          <w:spacing w:val="-3"/>
        </w:rPr>
        <w:t>作出变更决定；</w:t>
      </w:r>
    </w:p>
    <w:p>
      <w:pPr>
        <w:pStyle w:val="107"/>
        <w:numPr>
          <w:ilvl w:val="0"/>
          <w:numId w:val="24"/>
        </w:numPr>
        <w:tabs>
          <w:tab w:val="left" w:pos="1217"/>
        </w:tabs>
        <w:spacing w:before="132"/>
        <w:ind w:left="573" w:leftChars="200" w:hanging="153" w:hangingChars="75"/>
      </w:pPr>
      <w:r>
        <w:rPr>
          <w:spacing w:val="-3"/>
        </w:rPr>
        <w:t>作出涉及造价调整的工作联系单决定；</w:t>
      </w:r>
    </w:p>
    <w:p>
      <w:pPr>
        <w:pStyle w:val="107"/>
        <w:numPr>
          <w:ilvl w:val="0"/>
          <w:numId w:val="24"/>
        </w:numPr>
        <w:tabs>
          <w:tab w:val="left" w:pos="1217"/>
        </w:tabs>
        <w:spacing w:before="129"/>
        <w:ind w:left="793" w:leftChars="200" w:hanging="373" w:hangingChars="183"/>
      </w:pPr>
      <w:r>
        <w:rPr>
          <w:spacing w:val="-3"/>
        </w:rPr>
        <w:t xml:space="preserve">作出估价决定； </w:t>
      </w:r>
    </w:p>
    <w:p>
      <w:pPr>
        <w:pStyle w:val="107"/>
        <w:numPr>
          <w:ilvl w:val="0"/>
          <w:numId w:val="24"/>
        </w:numPr>
        <w:tabs>
          <w:tab w:val="left" w:pos="1217"/>
        </w:tabs>
        <w:spacing w:before="132"/>
        <w:ind w:left="374" w:leftChars="178" w:firstLine="44" w:firstLineChars="22"/>
      </w:pPr>
      <w:r>
        <w:rPr>
          <w:spacing w:val="-3"/>
        </w:rPr>
        <w:t>批准暂列金额</w:t>
      </w:r>
      <w:r>
        <w:t>（</w:t>
      </w:r>
      <w:r>
        <w:rPr>
          <w:spacing w:val="-2"/>
        </w:rPr>
        <w:t>备用金</w:t>
      </w:r>
      <w:r>
        <w:t>）</w:t>
      </w:r>
      <w:r>
        <w:rPr>
          <w:spacing w:val="-3"/>
        </w:rPr>
        <w:t>的使用；</w:t>
      </w:r>
    </w:p>
    <w:p>
      <w:pPr>
        <w:pStyle w:val="107"/>
        <w:numPr>
          <w:ilvl w:val="0"/>
          <w:numId w:val="24"/>
        </w:numPr>
        <w:tabs>
          <w:tab w:val="left" w:pos="1217"/>
        </w:tabs>
        <w:spacing w:before="132"/>
        <w:ind w:left="793" w:leftChars="200" w:hanging="373" w:hangingChars="183"/>
      </w:pPr>
      <w:r>
        <w:rPr>
          <w:spacing w:val="-3"/>
        </w:rPr>
        <w:t>作出采用新技术、新材料、新工艺的决定；</w:t>
      </w:r>
    </w:p>
    <w:p>
      <w:pPr>
        <w:pStyle w:val="107"/>
        <w:numPr>
          <w:ilvl w:val="0"/>
          <w:numId w:val="24"/>
        </w:numPr>
        <w:tabs>
          <w:tab w:val="left" w:pos="1221"/>
        </w:tabs>
        <w:spacing w:before="130" w:line="357" w:lineRule="auto"/>
        <w:ind w:left="420" w:leftChars="200" w:right="36" w:firstLine="0" w:firstLineChars="0"/>
      </w:pPr>
      <w:r>
        <w:rPr>
          <w:spacing w:val="-1"/>
        </w:rPr>
        <w:t>对承包人未能在监理人所发通知中规定的时间内修正某项缺陷，监理人对该缺陷的修</w:t>
      </w:r>
      <w:r>
        <w:rPr>
          <w:spacing w:val="-3"/>
        </w:rPr>
        <w:t>正费用做出估算，并在支付款中扣留这笔款项；</w:t>
      </w:r>
    </w:p>
    <w:p>
      <w:pPr>
        <w:pStyle w:val="107"/>
        <w:numPr>
          <w:ilvl w:val="0"/>
          <w:numId w:val="24"/>
        </w:numPr>
        <w:tabs>
          <w:tab w:val="left" w:pos="1217"/>
        </w:tabs>
        <w:spacing w:line="269" w:lineRule="exact"/>
        <w:ind w:left="374" w:leftChars="178" w:firstLine="44" w:firstLineChars="22"/>
      </w:pPr>
      <w:r>
        <w:rPr>
          <w:spacing w:val="-3"/>
        </w:rPr>
        <w:t>对不适合在本工程工作的承包人的职员或工人，监理人要求承包人将其调离；</w:t>
      </w:r>
    </w:p>
    <w:p>
      <w:pPr>
        <w:pStyle w:val="107"/>
        <w:numPr>
          <w:ilvl w:val="0"/>
          <w:numId w:val="24"/>
        </w:numPr>
        <w:tabs>
          <w:tab w:val="left" w:pos="1323"/>
        </w:tabs>
        <w:spacing w:before="129"/>
        <w:ind w:left="679" w:leftChars="200" w:hanging="259" w:hangingChars="127"/>
      </w:pPr>
      <w:r>
        <w:rPr>
          <w:spacing w:val="-3"/>
        </w:rPr>
        <w:t>审批施工月、季度、年和总进度计划或投资计划；</w:t>
      </w:r>
    </w:p>
    <w:p>
      <w:pPr>
        <w:pStyle w:val="107"/>
        <w:numPr>
          <w:ilvl w:val="0"/>
          <w:numId w:val="24"/>
        </w:numPr>
        <w:tabs>
          <w:tab w:val="left" w:pos="1323"/>
        </w:tabs>
        <w:spacing w:before="132"/>
        <w:ind w:left="679" w:leftChars="200" w:hanging="259" w:hangingChars="127"/>
      </w:pPr>
      <w:r>
        <w:rPr>
          <w:spacing w:val="-3"/>
        </w:rPr>
        <w:t>批准为合同永久工程施工需要进行的补充地质勘探。</w:t>
      </w:r>
    </w:p>
    <w:p>
      <w:pPr>
        <w:pStyle w:val="11"/>
        <w:spacing w:before="132" w:line="357" w:lineRule="auto"/>
        <w:ind w:left="238" w:right="36" w:firstLine="463"/>
      </w:pPr>
      <w:r>
        <w:rPr>
          <w:spacing w:val="-3"/>
        </w:rPr>
        <w:t>尽管有以上规定，但当监理人认为出现了危及生命、工程及财产安全的紧急事件时，即使没有</w:t>
      </w:r>
      <w:r>
        <w:rPr>
          <w:spacing w:val="-4"/>
        </w:rPr>
        <w:t>委托人的事先批准，监理人可以指示承包方实施为消除或减少这种危险所必须进行的工作。并通知</w:t>
      </w:r>
      <w:r>
        <w:rPr>
          <w:spacing w:val="-3"/>
        </w:rPr>
        <w:t>承包方和抄送委托方。</w:t>
      </w:r>
    </w:p>
    <w:p>
      <w:pPr>
        <w:pStyle w:val="6"/>
        <w:numPr>
          <w:ilvl w:val="1"/>
          <w:numId w:val="19"/>
        </w:numPr>
        <w:tabs>
          <w:tab w:val="left" w:pos="801"/>
        </w:tabs>
        <w:spacing w:before="38"/>
        <w:ind w:hanging="426"/>
        <w:rPr>
          <w:sz w:val="20"/>
        </w:rPr>
      </w:pPr>
      <w:bookmarkStart w:id="164" w:name="_bookmark197"/>
      <w:bookmarkEnd w:id="164"/>
      <w:r>
        <w:t>监理文件要求</w:t>
      </w:r>
    </w:p>
    <w:p>
      <w:pPr>
        <w:widowControl/>
        <w:jc w:val="left"/>
      </w:pPr>
      <w:r>
        <w:t>5.4.3 本工程监理文件的具类别、编制要求、编制内容、提交时间和份数等的约定：</w:t>
      </w:r>
      <w:r>
        <w:rPr>
          <w:rFonts w:hint="eastAsia" w:ascii="宋体" w:hAnsi="宋体" w:cs="宋体"/>
          <w:snapToGrid w:val="0"/>
          <w:color w:val="000000"/>
          <w:kern w:val="0"/>
          <w:szCs w:val="21"/>
          <w:u w:val="single"/>
        </w:rPr>
        <w:t xml:space="preserve">   /   </w:t>
      </w:r>
      <w:r>
        <w:rPr>
          <w:rFonts w:hint="eastAsia" w:ascii="宋体" w:hAnsi="宋体" w:cs="宋体"/>
          <w:snapToGrid w:val="0"/>
          <w:color w:val="000000"/>
          <w:kern w:val="0"/>
          <w:szCs w:val="21"/>
        </w:rPr>
        <w:t xml:space="preserve"> 。 </w:t>
      </w:r>
    </w:p>
    <w:p>
      <w:pPr>
        <w:pStyle w:val="11"/>
        <w:ind w:left="658"/>
        <w:rPr>
          <w:sz w:val="17"/>
        </w:rPr>
      </w:pPr>
    </w:p>
    <w:p>
      <w:pPr>
        <w:pStyle w:val="4"/>
        <w:numPr>
          <w:ilvl w:val="0"/>
          <w:numId w:val="19"/>
        </w:numPr>
        <w:tabs>
          <w:tab w:val="left" w:pos="561"/>
        </w:tabs>
        <w:spacing w:before="55"/>
        <w:ind w:left="560" w:hanging="323"/>
        <w:jc w:val="left"/>
      </w:pPr>
      <w:bookmarkStart w:id="165" w:name="_bookmark198"/>
      <w:bookmarkEnd w:id="165"/>
      <w:r>
        <w:t>开始监理和完成监理</w:t>
      </w:r>
    </w:p>
    <w:p>
      <w:pPr>
        <w:pStyle w:val="6"/>
        <w:numPr>
          <w:ilvl w:val="1"/>
          <w:numId w:val="19"/>
        </w:numPr>
        <w:tabs>
          <w:tab w:val="left" w:pos="801"/>
        </w:tabs>
        <w:spacing w:before="266"/>
        <w:ind w:hanging="426"/>
        <w:rPr>
          <w:sz w:val="20"/>
        </w:rPr>
      </w:pPr>
      <w:bookmarkStart w:id="166" w:name="_bookmark199"/>
      <w:bookmarkEnd w:id="166"/>
      <w:r>
        <w:rPr>
          <w:spacing w:val="-1"/>
        </w:rPr>
        <w:t>开始监理</w:t>
      </w:r>
    </w:p>
    <w:p>
      <w:pPr>
        <w:pStyle w:val="11"/>
        <w:ind w:left="658"/>
      </w:pPr>
      <w:r>
        <w:t>6.1.1</w:t>
      </w:r>
      <w:r>
        <w:rPr>
          <w:spacing w:val="-3"/>
        </w:rPr>
        <w:t xml:space="preserve"> 开 始 监 理 的 条 件 ：</w:t>
      </w:r>
      <w:r>
        <w:rPr>
          <w:rFonts w:hint="eastAsia"/>
          <w:spacing w:val="-3"/>
          <w:u w:val="single"/>
        </w:rPr>
        <w:t>确定施工中标单位</w:t>
      </w:r>
      <w:r>
        <w:t xml:space="preserve">。 </w:t>
      </w:r>
    </w:p>
    <w:p>
      <w:pPr>
        <w:pStyle w:val="11"/>
        <w:spacing w:before="139"/>
        <w:ind w:left="658"/>
      </w:pPr>
      <w:r>
        <w:t>6.1.2 因委托人原因未能及时发出开始监理通知的，按照以下约定执行：</w:t>
      </w:r>
      <w:r>
        <w:rPr>
          <w:rFonts w:hint="eastAsia" w:ascii="宋体" w:hAnsi="宋体" w:cs="宋体"/>
          <w:snapToGrid w:val="0"/>
          <w:color w:val="000000"/>
          <w:kern w:val="0"/>
          <w:szCs w:val="21"/>
          <w:u w:val="single"/>
        </w:rPr>
        <w:t xml:space="preserve">   /   </w:t>
      </w:r>
      <w:r>
        <w:rPr>
          <w:rFonts w:hint="eastAsia" w:ascii="宋体" w:hAnsi="宋体" w:cs="宋体"/>
          <w:snapToGrid w:val="0"/>
          <w:color w:val="000000"/>
          <w:kern w:val="0"/>
          <w:szCs w:val="21"/>
        </w:rPr>
        <w:t xml:space="preserve"> 。 </w:t>
      </w:r>
    </w:p>
    <w:p>
      <w:pPr>
        <w:pStyle w:val="11"/>
        <w:spacing w:before="4"/>
        <w:rPr>
          <w:sz w:val="26"/>
        </w:rPr>
      </w:pPr>
    </w:p>
    <w:p>
      <w:pPr>
        <w:pStyle w:val="6"/>
        <w:numPr>
          <w:ilvl w:val="1"/>
          <w:numId w:val="19"/>
        </w:numPr>
        <w:tabs>
          <w:tab w:val="left" w:pos="801"/>
        </w:tabs>
        <w:spacing w:before="61"/>
        <w:ind w:hanging="426"/>
        <w:rPr>
          <w:sz w:val="20"/>
        </w:rPr>
      </w:pPr>
      <w:bookmarkStart w:id="167" w:name="_bookmark200"/>
      <w:bookmarkEnd w:id="167"/>
      <w:r>
        <w:t>监理周期延误</w:t>
      </w:r>
    </w:p>
    <w:p>
      <w:pPr>
        <w:widowControl/>
        <w:jc w:val="left"/>
      </w:pPr>
      <w:r>
        <w:t>由于非监理人责任造成监理服务期限延误的，延长监理服务期限的计算方法</w:t>
      </w:r>
      <w:r>
        <w:rPr>
          <w:rFonts w:hint="eastAsia"/>
        </w:rPr>
        <w:t>：</w:t>
      </w:r>
      <w:r>
        <w:rPr>
          <w:rFonts w:hint="eastAsia" w:ascii="宋体" w:hAnsi="宋体" w:cs="宋体"/>
          <w:snapToGrid w:val="0"/>
          <w:color w:val="000000"/>
          <w:kern w:val="0"/>
          <w:szCs w:val="21"/>
          <w:u w:val="single"/>
        </w:rPr>
        <w:t>不再增加监理费用</w:t>
      </w:r>
      <w:r>
        <w:t>；</w:t>
      </w:r>
    </w:p>
    <w:p>
      <w:pPr>
        <w:widowControl/>
        <w:jc w:val="left"/>
      </w:pPr>
      <w:r>
        <w:t>增加监理服务费用的计算方法：</w:t>
      </w:r>
      <w:r>
        <w:rPr>
          <w:rFonts w:hint="eastAsia" w:ascii="宋体" w:hAnsi="宋体" w:cs="宋体"/>
          <w:snapToGrid w:val="0"/>
          <w:color w:val="000000"/>
          <w:kern w:val="0"/>
          <w:szCs w:val="21"/>
          <w:u w:val="single"/>
        </w:rPr>
        <w:t xml:space="preserve">   /   </w:t>
      </w:r>
      <w:r>
        <w:rPr>
          <w:rFonts w:hint="eastAsia" w:ascii="宋体" w:hAnsi="宋体" w:cs="宋体"/>
          <w:snapToGrid w:val="0"/>
          <w:color w:val="000000"/>
          <w:kern w:val="0"/>
          <w:szCs w:val="21"/>
        </w:rPr>
        <w:t xml:space="preserve"> 。 </w:t>
      </w:r>
    </w:p>
    <w:p>
      <w:pPr>
        <w:pStyle w:val="11"/>
        <w:spacing w:before="8"/>
        <w:rPr>
          <w:sz w:val="15"/>
        </w:rPr>
      </w:pPr>
    </w:p>
    <w:p>
      <w:pPr>
        <w:pStyle w:val="6"/>
        <w:numPr>
          <w:ilvl w:val="1"/>
          <w:numId w:val="19"/>
        </w:numPr>
        <w:tabs>
          <w:tab w:val="left" w:pos="1012"/>
        </w:tabs>
        <w:spacing w:before="62"/>
        <w:ind w:left="1011" w:hanging="426"/>
        <w:rPr>
          <w:sz w:val="20"/>
        </w:rPr>
      </w:pPr>
      <w:bookmarkStart w:id="168" w:name="_bookmark201"/>
      <w:bookmarkEnd w:id="168"/>
      <w:r>
        <w:t>完成监理</w:t>
      </w:r>
    </w:p>
    <w:p>
      <w:pPr>
        <w:pStyle w:val="11"/>
        <w:ind w:left="658"/>
        <w:rPr>
          <w:sz w:val="26"/>
        </w:rPr>
      </w:pPr>
      <w:r>
        <w:t>6.3.2 提前完成监理，监理报酬是否调整：</w:t>
      </w:r>
      <w:r>
        <w:rPr>
          <w:rFonts w:hint="eastAsia"/>
          <w:u w:val="single"/>
        </w:rPr>
        <w:t>否</w:t>
      </w:r>
      <w:r>
        <w:t xml:space="preserve">。 </w:t>
      </w:r>
    </w:p>
    <w:p>
      <w:pPr>
        <w:pStyle w:val="4"/>
        <w:numPr>
          <w:ilvl w:val="0"/>
          <w:numId w:val="25"/>
        </w:numPr>
        <w:tabs>
          <w:tab w:val="left" w:pos="561"/>
        </w:tabs>
        <w:spacing w:before="54"/>
        <w:ind w:hanging="323"/>
      </w:pPr>
      <w:bookmarkStart w:id="169" w:name="_bookmark202"/>
      <w:bookmarkEnd w:id="169"/>
      <w:r>
        <w:t>合同变更</w:t>
      </w:r>
    </w:p>
    <w:p>
      <w:pPr>
        <w:pStyle w:val="6"/>
        <w:numPr>
          <w:ilvl w:val="1"/>
          <w:numId w:val="25"/>
        </w:numPr>
        <w:tabs>
          <w:tab w:val="left" w:pos="801"/>
        </w:tabs>
        <w:spacing w:before="266"/>
        <w:ind w:left="800" w:hanging="426"/>
        <w:rPr>
          <w:sz w:val="20"/>
        </w:rPr>
      </w:pPr>
      <w:bookmarkStart w:id="170" w:name="_bookmark203"/>
      <w:bookmarkEnd w:id="170"/>
      <w:r>
        <w:rPr>
          <w:spacing w:val="-1"/>
        </w:rPr>
        <w:t>变更情形</w:t>
      </w:r>
    </w:p>
    <w:p>
      <w:pPr>
        <w:widowControl/>
        <w:spacing w:line="360" w:lineRule="auto"/>
        <w:ind w:firstLine="408" w:firstLineChars="200"/>
        <w:jc w:val="left"/>
        <w:rPr>
          <w:u w:val="single"/>
        </w:rPr>
      </w:pPr>
      <w:r>
        <w:rPr>
          <w:rFonts w:hint="eastAsia"/>
          <w:spacing w:val="-3"/>
        </w:rPr>
        <w:t xml:space="preserve">8.1.1 </w:t>
      </w:r>
      <w:r>
        <w:rPr>
          <w:spacing w:val="-3"/>
        </w:rPr>
        <w:t>合同变更时，监理服务期限的调整方法：</w:t>
      </w:r>
      <w:r>
        <w:rPr>
          <w:rFonts w:hint="eastAsia" w:ascii="宋体" w:hAnsi="宋体" w:cs="宋体"/>
          <w:snapToGrid w:val="0"/>
          <w:color w:val="000000"/>
          <w:kern w:val="0"/>
          <w:szCs w:val="21"/>
          <w:u w:val="single"/>
        </w:rPr>
        <w:t xml:space="preserve">   /   </w:t>
      </w:r>
      <w:r>
        <w:t xml:space="preserve"> ；监理报酬的调整方法：</w:t>
      </w:r>
      <w:r>
        <w:rPr>
          <w:rFonts w:hint="eastAsia" w:ascii="宋体" w:hAnsi="宋体" w:cs="宋体"/>
          <w:snapToGrid w:val="0"/>
          <w:color w:val="000000"/>
          <w:kern w:val="0"/>
          <w:szCs w:val="21"/>
          <w:u w:val="single"/>
        </w:rPr>
        <w:t xml:space="preserve">监理工作报酬按照增加的监理工作所需要的监理人员和主要设施、设备等费用增加情况，按本合同中监理报酬清单相应价格进行计算。 </w:t>
      </w:r>
    </w:p>
    <w:p>
      <w:pPr>
        <w:pStyle w:val="11"/>
        <w:spacing w:line="364" w:lineRule="auto"/>
        <w:ind w:right="36" w:firstLine="404" w:firstLineChars="200"/>
        <w:rPr>
          <w:sz w:val="20"/>
        </w:rPr>
      </w:pPr>
      <w:r>
        <w:rPr>
          <w:spacing w:val="-4"/>
        </w:rPr>
        <w:t>监理范围和监理服务期限如未发生变化，监理服务费用在合同实施期间不予变更；监理范围明显减少的，合同双方参照以上计算调整核减监理报酬；因工程提前完成导致监理服务期限缩短，且</w:t>
      </w:r>
      <w:r>
        <w:rPr>
          <w:spacing w:val="-3"/>
        </w:rPr>
        <w:t>在监理人已履行本合同规定义务的情况下，委托人不能以监理人提前完成监理而减少监理报酬。</w:t>
      </w:r>
    </w:p>
    <w:p>
      <w:pPr>
        <w:pStyle w:val="6"/>
        <w:numPr>
          <w:ilvl w:val="1"/>
          <w:numId w:val="25"/>
        </w:numPr>
        <w:tabs>
          <w:tab w:val="left" w:pos="801"/>
        </w:tabs>
        <w:ind w:left="800" w:hanging="426"/>
        <w:rPr>
          <w:sz w:val="20"/>
        </w:rPr>
      </w:pPr>
      <w:bookmarkStart w:id="171" w:name="_bookmark204"/>
      <w:bookmarkEnd w:id="171"/>
      <w:r>
        <w:t>合理化建议</w:t>
      </w:r>
    </w:p>
    <w:p>
      <w:pPr>
        <w:pStyle w:val="11"/>
        <w:spacing w:line="350" w:lineRule="auto"/>
        <w:ind w:left="390" w:right="36" w:hanging="390"/>
      </w:pPr>
      <w:r>
        <w:rPr>
          <w:rFonts w:eastAsia="Times New Roman"/>
        </w:rPr>
        <w:t xml:space="preserve">8.2.2 </w:t>
      </w:r>
      <w:r>
        <w:rPr>
          <w:spacing w:val="-6"/>
        </w:rPr>
        <w:t xml:space="preserve">监理人提出的合理化建议降低了工程投资、缩短了施工期限或者提高了工程经济效益的， </w:t>
      </w:r>
      <w:r>
        <w:rPr>
          <w:spacing w:val="-4"/>
        </w:rPr>
        <w:t>委托人给予监理人如下奖励：</w:t>
      </w:r>
      <w:r>
        <w:rPr>
          <w:rFonts w:hint="eastAsia" w:ascii="宋体" w:hAnsi="宋体" w:cs="宋体"/>
          <w:snapToGrid w:val="0"/>
          <w:color w:val="000000"/>
          <w:kern w:val="0"/>
          <w:szCs w:val="21"/>
          <w:u w:val="single"/>
        </w:rPr>
        <w:t xml:space="preserve">  /  </w:t>
      </w:r>
      <w:r>
        <w:rPr>
          <w:spacing w:val="50"/>
        </w:rPr>
        <w:t>。</w:t>
      </w:r>
    </w:p>
    <w:p>
      <w:pPr>
        <w:pStyle w:val="4"/>
        <w:numPr>
          <w:ilvl w:val="0"/>
          <w:numId w:val="25"/>
        </w:numPr>
        <w:tabs>
          <w:tab w:val="left" w:pos="563"/>
        </w:tabs>
        <w:ind w:left="562" w:hanging="325"/>
      </w:pPr>
      <w:bookmarkStart w:id="172" w:name="_bookmark205"/>
      <w:bookmarkEnd w:id="172"/>
      <w:r>
        <w:t>合同价格与支付</w:t>
      </w:r>
    </w:p>
    <w:p>
      <w:pPr>
        <w:pStyle w:val="6"/>
        <w:numPr>
          <w:ilvl w:val="1"/>
          <w:numId w:val="25"/>
        </w:numPr>
        <w:tabs>
          <w:tab w:val="left" w:pos="801"/>
        </w:tabs>
        <w:spacing w:before="266"/>
        <w:ind w:left="800" w:hanging="426"/>
        <w:rPr>
          <w:sz w:val="20"/>
        </w:rPr>
      </w:pPr>
      <w:bookmarkStart w:id="173" w:name="_bookmark206"/>
      <w:bookmarkEnd w:id="173"/>
      <w:r>
        <w:rPr>
          <w:spacing w:val="-1"/>
        </w:rPr>
        <w:t>合同价格</w:t>
      </w:r>
    </w:p>
    <w:p>
      <w:pPr>
        <w:pStyle w:val="107"/>
        <w:numPr>
          <w:ilvl w:val="2"/>
          <w:numId w:val="25"/>
        </w:numPr>
        <w:tabs>
          <w:tab w:val="left" w:pos="1238"/>
        </w:tabs>
        <w:spacing w:line="364" w:lineRule="auto"/>
        <w:ind w:right="36" w:firstLine="400"/>
      </w:pPr>
      <w:r>
        <w:rPr>
          <w:spacing w:val="-5"/>
        </w:rPr>
        <w:t>本合同为总价合同。合同价格是监理人按照合同约定完成</w:t>
      </w:r>
      <w:r>
        <w:rPr>
          <w:rFonts w:hint="eastAsia"/>
          <w:spacing w:val="-5"/>
          <w:u w:val="single"/>
        </w:rPr>
        <w:t xml:space="preserve">  项目施工、验收  </w:t>
      </w:r>
      <w:r>
        <w:rPr>
          <w:spacing w:val="1"/>
        </w:rPr>
        <w:t xml:space="preserve"> 阶段监理服务所需的全</w:t>
      </w:r>
      <w:r>
        <w:rPr>
          <w:spacing w:val="-3"/>
        </w:rPr>
        <w:t>部费用，应按投标文件格式中监理报酬清单的内容和格式填报。监理服务费包括以下组成部分：</w:t>
      </w:r>
    </w:p>
    <w:p>
      <w:pPr>
        <w:pStyle w:val="11"/>
        <w:spacing w:line="364" w:lineRule="auto"/>
        <w:ind w:left="658" w:right="36"/>
      </w:pPr>
      <w:r>
        <w:t>监理人员服务费； 监理办公设施费； 监理交通设施费； 监理生活设施费； 平行检测费。</w:t>
      </w:r>
    </w:p>
    <w:p>
      <w:pPr>
        <w:pStyle w:val="11"/>
        <w:spacing w:line="267" w:lineRule="exact"/>
      </w:pPr>
      <w:r>
        <w:t xml:space="preserve">上述费用包括企业管理费、利润、税金、保险等监理服务所需的全部费用。 </w:t>
      </w:r>
    </w:p>
    <w:p>
      <w:pPr>
        <w:pStyle w:val="11"/>
        <w:spacing w:before="137" w:line="364" w:lineRule="auto"/>
        <w:ind w:left="210" w:leftChars="100" w:right="36" w:firstLine="385" w:firstLineChars="191"/>
      </w:pPr>
      <w:r>
        <w:rPr>
          <w:spacing w:val="-4"/>
        </w:rPr>
        <w:t>监理人员服务费应填报各级监理人员的人月单价及为完成监理服务所需要的总人月数量。各类监理人员的人月单价应包括监理人员履行监理服务时由于施工工艺的连续性导致不可避免的加班费</w:t>
      </w:r>
      <w:r>
        <w:rPr>
          <w:spacing w:val="-3"/>
        </w:rPr>
        <w:t>用，在上述情况发生时，委托人将不考虑另行支付监理人员的加班费用。</w:t>
      </w:r>
    </w:p>
    <w:p>
      <w:pPr>
        <w:pStyle w:val="11"/>
        <w:spacing w:line="364" w:lineRule="auto"/>
        <w:ind w:right="36" w:firstLine="375" w:firstLineChars="186"/>
        <w:rPr>
          <w:sz w:val="20"/>
        </w:rPr>
      </w:pPr>
      <w:r>
        <w:rPr>
          <w:spacing w:val="-4"/>
        </w:rPr>
        <w:t>本项目监理人采用现场测量手段进行平行检测和需要委托具有相应资质的工程质量检测机构进</w:t>
      </w:r>
      <w:r>
        <w:rPr>
          <w:spacing w:val="-3"/>
        </w:rPr>
        <w:t>行的平行检测，相应费用均含在合同价格之中。</w:t>
      </w:r>
      <w:r>
        <w:t>除本合同第 8 条约定的变更情形外，本监理合同的监理服务费用在合同实施期间一律不予调整。</w:t>
      </w:r>
    </w:p>
    <w:p>
      <w:pPr>
        <w:pStyle w:val="6"/>
        <w:numPr>
          <w:ilvl w:val="1"/>
          <w:numId w:val="25"/>
        </w:numPr>
        <w:tabs>
          <w:tab w:val="left" w:pos="801"/>
        </w:tabs>
        <w:spacing w:before="141"/>
        <w:ind w:left="800" w:hanging="426"/>
        <w:rPr>
          <w:sz w:val="20"/>
        </w:rPr>
      </w:pPr>
      <w:bookmarkStart w:id="174" w:name="_bookmark207"/>
      <w:bookmarkEnd w:id="174"/>
      <w:r>
        <w:rPr>
          <w:spacing w:val="-1"/>
        </w:rPr>
        <w:t>预付款</w:t>
      </w:r>
    </w:p>
    <w:p>
      <w:pPr>
        <w:pStyle w:val="11"/>
        <w:ind w:left="658"/>
      </w:pPr>
      <w:r>
        <w:t>9.2.1</w:t>
      </w:r>
      <w:r>
        <w:rPr>
          <w:spacing w:val="-3"/>
        </w:rPr>
        <w:t xml:space="preserve"> 预 付 款 的 额 度 ：</w:t>
      </w:r>
      <w:r>
        <w:rPr>
          <w:rFonts w:hint="eastAsia"/>
          <w:spacing w:val="-3"/>
          <w:u w:val="single"/>
        </w:rPr>
        <w:t>无</w:t>
      </w:r>
      <w:r>
        <w:rPr>
          <w:spacing w:val="-3"/>
        </w:rPr>
        <w:t>。</w:t>
      </w:r>
    </w:p>
    <w:p>
      <w:pPr>
        <w:pStyle w:val="11"/>
        <w:spacing w:before="139"/>
        <w:ind w:left="870"/>
      </w:pPr>
      <w:r>
        <w:t>支 付 方 式 及 抵 扣 方 式 ：</w:t>
      </w:r>
      <w:r>
        <w:rPr>
          <w:rFonts w:hint="eastAsia"/>
          <w:u w:val="single"/>
        </w:rPr>
        <w:t>无</w:t>
      </w:r>
      <w:r>
        <w:t xml:space="preserve">。 </w:t>
      </w:r>
    </w:p>
    <w:p>
      <w:pPr>
        <w:pStyle w:val="11"/>
        <w:spacing w:before="3"/>
        <w:rPr>
          <w:sz w:val="26"/>
        </w:rPr>
      </w:pPr>
    </w:p>
    <w:p>
      <w:pPr>
        <w:pStyle w:val="6"/>
        <w:numPr>
          <w:ilvl w:val="1"/>
          <w:numId w:val="25"/>
        </w:numPr>
        <w:tabs>
          <w:tab w:val="left" w:pos="801"/>
        </w:tabs>
        <w:spacing w:before="61"/>
        <w:ind w:left="800" w:hanging="426"/>
        <w:rPr>
          <w:sz w:val="20"/>
        </w:rPr>
      </w:pPr>
      <w:bookmarkStart w:id="175" w:name="_bookmark208"/>
      <w:bookmarkEnd w:id="175"/>
      <w:r>
        <w:rPr>
          <w:spacing w:val="-1"/>
        </w:rPr>
        <w:t>中期支付</w:t>
      </w:r>
    </w:p>
    <w:p>
      <w:pPr>
        <w:pStyle w:val="107"/>
        <w:numPr>
          <w:ilvl w:val="2"/>
          <w:numId w:val="25"/>
        </w:numPr>
        <w:tabs>
          <w:tab w:val="left" w:pos="1449"/>
        </w:tabs>
        <w:spacing w:line="364" w:lineRule="auto"/>
        <w:ind w:left="399" w:right="36" w:firstLine="408"/>
      </w:pPr>
      <w:r>
        <w:rPr>
          <w:spacing w:val="-3"/>
        </w:rPr>
        <w:t>监理人应在各支付周期末向委托人提交由总监理工程师签署的按委托人批准格式填写的监理服务费付款申请单一式</w:t>
      </w:r>
      <w:r>
        <w:rPr>
          <w:rFonts w:hint="eastAsia"/>
          <w:spacing w:val="-3"/>
        </w:rPr>
        <w:t>4</w:t>
      </w:r>
      <w:r>
        <w:rPr>
          <w:spacing w:val="-3"/>
        </w:rPr>
        <w:t>份，该付款申请单包括以下栏目，监理人应逐项填写清楚：</w:t>
      </w:r>
    </w:p>
    <w:p>
      <w:pPr>
        <w:pStyle w:val="107"/>
        <w:numPr>
          <w:ilvl w:val="3"/>
          <w:numId w:val="25"/>
        </w:numPr>
        <w:tabs>
          <w:tab w:val="left" w:pos="840"/>
        </w:tabs>
        <w:spacing w:line="364" w:lineRule="auto"/>
        <w:ind w:left="304" w:leftChars="145" w:right="36" w:firstLine="112" w:firstLineChars="55"/>
      </w:pPr>
      <w:r>
        <w:rPr>
          <w:spacing w:val="-3"/>
        </w:rPr>
        <w:t>本次应向监理人支付的</w:t>
      </w:r>
      <w:r>
        <w:t>（</w:t>
      </w:r>
      <w:r>
        <w:rPr>
          <w:spacing w:val="-3"/>
        </w:rPr>
        <w:t>结算的</w:t>
      </w:r>
      <w:r>
        <w:t>）</w:t>
      </w:r>
      <w:r>
        <w:rPr>
          <w:spacing w:val="-3"/>
        </w:rPr>
        <w:t>监理服务费用 ；</w:t>
      </w:r>
      <w:r>
        <w:t>(2)</w:t>
      </w:r>
      <w:r>
        <w:rPr>
          <w:spacing w:val="-3"/>
        </w:rPr>
        <w:t xml:space="preserve"> 本次应支付的监理服务变更费用；</w:t>
      </w:r>
    </w:p>
    <w:p>
      <w:pPr>
        <w:pStyle w:val="11"/>
        <w:spacing w:line="364" w:lineRule="auto"/>
        <w:ind w:left="401" w:leftChars="191" w:right="36" w:firstLine="14" w:firstLineChars="7"/>
      </w:pPr>
      <w:r>
        <w:t xml:space="preserve">(3) 根据合同规定，本次应结算的其他款项； (4) 本次应扣回的预付款； (5) 根据合同规定，本次应扣除的其他款项。 </w:t>
      </w:r>
    </w:p>
    <w:p>
      <w:pPr>
        <w:pStyle w:val="107"/>
        <w:numPr>
          <w:ilvl w:val="2"/>
          <w:numId w:val="25"/>
        </w:numPr>
        <w:tabs>
          <w:tab w:val="left" w:pos="1331"/>
        </w:tabs>
        <w:spacing w:before="140" w:line="364" w:lineRule="auto"/>
        <w:ind w:right="1149" w:firstLine="408"/>
      </w:pPr>
      <w:r>
        <w:rPr>
          <w:spacing w:val="-3"/>
        </w:rPr>
        <w:t>委托人不按期支付而向监理人支付逾期付款违约金的计算办法：</w:t>
      </w:r>
      <w:r>
        <w:rPr>
          <w:rFonts w:hint="eastAsia"/>
          <w:spacing w:val="-3"/>
          <w:u w:val="single"/>
        </w:rPr>
        <w:t>无</w:t>
      </w:r>
      <w:r>
        <w:t xml:space="preserve">。 </w:t>
      </w:r>
    </w:p>
    <w:p>
      <w:pPr>
        <w:pStyle w:val="11"/>
        <w:spacing w:line="267" w:lineRule="exact"/>
        <w:ind w:left="658"/>
      </w:pPr>
      <w:r>
        <w:t>9.3.3 中期支付涉及政府投资资金的，支付规定如下：</w:t>
      </w:r>
      <w:r>
        <w:rPr>
          <w:rFonts w:hint="eastAsia"/>
          <w:u w:val="single"/>
        </w:rPr>
        <w:t>无</w:t>
      </w:r>
      <w:r>
        <w:t xml:space="preserve">。 </w:t>
      </w:r>
    </w:p>
    <w:p>
      <w:pPr>
        <w:pStyle w:val="11"/>
        <w:spacing w:before="61" w:line="364" w:lineRule="auto"/>
        <w:ind w:left="702" w:right="36"/>
      </w:pPr>
      <w:r>
        <w:rPr>
          <w:spacing w:val="-11"/>
        </w:rPr>
        <w:t xml:space="preserve">本款补充第 </w:t>
      </w:r>
      <w:r>
        <w:rPr>
          <w:rFonts w:ascii="Calibri" w:eastAsia="Calibri"/>
        </w:rPr>
        <w:t>9</w:t>
      </w:r>
      <w:r>
        <w:t>.3.4</w:t>
      </w:r>
      <w:r>
        <w:rPr>
          <w:spacing w:val="-23"/>
        </w:rPr>
        <w:t xml:space="preserve"> 项、第 </w:t>
      </w:r>
      <w:r>
        <w:t>9.3.5</w:t>
      </w:r>
      <w:r>
        <w:rPr>
          <w:spacing w:val="-19"/>
        </w:rPr>
        <w:t xml:space="preserve"> 项： </w:t>
      </w:r>
      <w:r>
        <w:t>9.3.4</w:t>
      </w:r>
      <w:r>
        <w:rPr>
          <w:spacing w:val="-3"/>
        </w:rPr>
        <w:t xml:space="preserve"> 支付方法</w:t>
      </w:r>
    </w:p>
    <w:p>
      <w:pPr>
        <w:spacing w:line="270" w:lineRule="exact"/>
        <w:ind w:left="702"/>
        <w:rPr>
          <w:b/>
          <w:i/>
        </w:rPr>
      </w:pPr>
      <w:r>
        <w:rPr>
          <w:spacing w:val="-2"/>
        </w:rPr>
        <w:t>支付方式为：</w:t>
      </w:r>
      <w:r>
        <w:rPr>
          <w:spacing w:val="29"/>
          <w:u w:val="single"/>
        </w:rPr>
        <w:t xml:space="preserve"> 银行转帐 </w:t>
      </w:r>
      <w:r>
        <w:rPr>
          <w:spacing w:val="-108"/>
        </w:rPr>
        <w:t>。</w:t>
      </w:r>
    </w:p>
    <w:p>
      <w:pPr>
        <w:pStyle w:val="11"/>
        <w:spacing w:before="136"/>
        <w:ind w:left="18" w:firstLine="638" w:firstLineChars="304"/>
      </w:pPr>
      <w:r>
        <w:t>支付时间</w:t>
      </w:r>
      <w:r>
        <w:rPr>
          <w:highlight w:val="none"/>
        </w:rPr>
        <w:t>为：</w:t>
      </w:r>
      <w:r>
        <w:rPr>
          <w:rFonts w:hint="eastAsia"/>
          <w:highlight w:val="none"/>
          <w:u w:val="single"/>
        </w:rPr>
        <w:t>按工程进度付款，具体以合同签订为准。</w:t>
      </w:r>
    </w:p>
    <w:p>
      <w:pPr>
        <w:pStyle w:val="11"/>
        <w:tabs>
          <w:tab w:val="left" w:pos="7980"/>
        </w:tabs>
        <w:spacing w:before="136" w:line="364" w:lineRule="auto"/>
        <w:ind w:left="238" w:right="36" w:firstLine="463"/>
        <w:rPr>
          <w:b/>
          <w:i/>
          <w:sz w:val="20"/>
        </w:rPr>
      </w:pPr>
      <w:r>
        <w:t>9.3.5</w:t>
      </w:r>
      <w:r>
        <w:rPr>
          <w:spacing w:val="-9"/>
        </w:rPr>
        <w:t xml:space="preserve"> 委托人对监理人要求支付的款项中的任何部分有异议的 ，应在收到监理人提交的书面支</w:t>
      </w:r>
      <w:r>
        <w:rPr>
          <w:spacing w:val="-16"/>
        </w:rPr>
        <w:t xml:space="preserve">付申请 </w:t>
      </w:r>
      <w:r>
        <w:rPr>
          <w:rFonts w:eastAsia="Times New Roman"/>
        </w:rPr>
        <w:t xml:space="preserve">7 </w:t>
      </w:r>
      <w:r>
        <w:rPr>
          <w:spacing w:val="-3"/>
        </w:rPr>
        <w:t>日内发出书面通知说明理由，但不得借此延误对监理人其他应得款项的支付。</w:t>
      </w:r>
    </w:p>
    <w:p>
      <w:pPr>
        <w:pStyle w:val="6"/>
        <w:numPr>
          <w:ilvl w:val="1"/>
          <w:numId w:val="25"/>
        </w:numPr>
        <w:tabs>
          <w:tab w:val="left" w:pos="801"/>
        </w:tabs>
        <w:ind w:left="800" w:hanging="426"/>
        <w:rPr>
          <w:sz w:val="20"/>
        </w:rPr>
      </w:pPr>
      <w:bookmarkStart w:id="176" w:name="_bookmark209"/>
      <w:bookmarkEnd w:id="176"/>
      <w:r>
        <w:rPr>
          <w:spacing w:val="-1"/>
        </w:rPr>
        <w:t>费用结算</w:t>
      </w:r>
    </w:p>
    <w:p>
      <w:pPr>
        <w:pStyle w:val="107"/>
        <w:numPr>
          <w:ilvl w:val="2"/>
          <w:numId w:val="25"/>
        </w:numPr>
        <w:tabs>
          <w:tab w:val="left" w:pos="1238"/>
        </w:tabs>
        <w:spacing w:line="350" w:lineRule="auto"/>
        <w:ind w:right="36" w:firstLine="404"/>
      </w:pPr>
      <w:r>
        <w:rPr>
          <w:spacing w:val="-4"/>
        </w:rPr>
        <w:t>合同工作</w:t>
      </w:r>
      <w:r>
        <w:rPr>
          <w:spacing w:val="-2"/>
        </w:rPr>
        <w:t>完成后</w:t>
      </w:r>
      <w:r>
        <w:rPr>
          <w:rFonts w:hint="eastAsia"/>
          <w:spacing w:val="3"/>
        </w:rPr>
        <w:t>30</w:t>
      </w:r>
      <w:r>
        <w:rPr>
          <w:spacing w:val="3"/>
        </w:rPr>
        <w:t>日内，监理人</w:t>
      </w:r>
      <w:r>
        <w:rPr>
          <w:spacing w:val="-3"/>
        </w:rPr>
        <w:t>应向委托人提交一式</w:t>
      </w:r>
      <w:r>
        <w:rPr>
          <w:rFonts w:hint="eastAsia"/>
          <w:spacing w:val="23"/>
          <w:u w:val="single"/>
        </w:rPr>
        <w:t>4份</w:t>
      </w:r>
      <w:r>
        <w:rPr>
          <w:spacing w:val="-3"/>
        </w:rPr>
        <w:t>监理费用结算</w:t>
      </w:r>
      <w:r>
        <w:rPr>
          <w:spacing w:val="-8"/>
        </w:rPr>
        <w:t>申请，并提供相关证明材料。</w:t>
      </w:r>
    </w:p>
    <w:p>
      <w:pPr>
        <w:pStyle w:val="107"/>
        <w:numPr>
          <w:ilvl w:val="2"/>
          <w:numId w:val="25"/>
        </w:numPr>
        <w:tabs>
          <w:tab w:val="left" w:pos="1293"/>
        </w:tabs>
        <w:spacing w:before="5" w:line="364" w:lineRule="auto"/>
        <w:ind w:right="1152" w:firstLine="412"/>
      </w:pPr>
      <w:r>
        <w:rPr>
          <w:spacing w:val="-2"/>
        </w:rPr>
        <w:t>委托人不按期支付而向监理人支付逾期付款违约金的计算办法：</w:t>
      </w:r>
      <w:r>
        <w:rPr>
          <w:rFonts w:hint="eastAsia"/>
          <w:spacing w:val="-4"/>
          <w:u w:val="single"/>
        </w:rPr>
        <w:t>无</w:t>
      </w:r>
      <w:r>
        <w:rPr>
          <w:spacing w:val="-3"/>
        </w:rPr>
        <w:t xml:space="preserve">。 </w:t>
      </w:r>
    </w:p>
    <w:p>
      <w:pPr>
        <w:pStyle w:val="11"/>
        <w:rPr>
          <w:sz w:val="20"/>
        </w:rPr>
      </w:pPr>
      <w:r>
        <w:t xml:space="preserve">本条补充第 9.5 款： </w:t>
      </w:r>
    </w:p>
    <w:p>
      <w:pPr>
        <w:pStyle w:val="11"/>
        <w:spacing w:before="139"/>
        <w:ind w:left="658"/>
      </w:pPr>
    </w:p>
    <w:p>
      <w:pPr>
        <w:pStyle w:val="6"/>
        <w:numPr>
          <w:ilvl w:val="1"/>
          <w:numId w:val="25"/>
        </w:numPr>
        <w:tabs>
          <w:tab w:val="left" w:pos="801"/>
        </w:tabs>
        <w:spacing w:before="144"/>
        <w:ind w:left="800" w:hanging="426"/>
        <w:rPr>
          <w:sz w:val="26"/>
        </w:rPr>
      </w:pPr>
      <w:bookmarkStart w:id="177" w:name="_bookmark210"/>
      <w:bookmarkEnd w:id="177"/>
      <w:r>
        <w:rPr>
          <w:spacing w:val="-1"/>
        </w:rPr>
        <w:t>暂列金</w:t>
      </w:r>
    </w:p>
    <w:p>
      <w:pPr>
        <w:pStyle w:val="11"/>
        <w:spacing w:before="10"/>
        <w:rPr>
          <w:b/>
          <w:sz w:val="20"/>
        </w:rPr>
      </w:pPr>
    </w:p>
    <w:p>
      <w:pPr>
        <w:pStyle w:val="11"/>
        <w:spacing w:line="364" w:lineRule="auto"/>
        <w:ind w:left="238" w:right="36" w:firstLine="420"/>
        <w:rPr>
          <w:sz w:val="20"/>
        </w:rPr>
      </w:pPr>
      <w:r>
        <w:pict>
          <v:line id="_x0000_s1026" o:spid="_x0000_s1026" o:spt="20" style="position:absolute;left:0pt;margin-left:187pt;margin-top:12.2pt;height:0pt;width:63.2pt;mso-position-horizontal-relative:page;z-index:-251657216;mso-width-relative:page;mso-height-relative:page;" coordsize="21600,21600" o:gfxdata="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83rN7WAAAACQEAAA8AAAAAAAAAAQAgAAAAIgAAAGRycy9kb3ducmV2LnhtbFBL&#10;AQIUABQAAAAIAIdO4kDU2rP4+AEAAPEDAAAOAAAAAAAAAAEAIAAAACUBAABkcnMvZTJvRG9jLnht&#10;bFBLBQYAAAAABgAGAFkBAACPBQAAAAA=&#10;">
            <v:path arrowok="t"/>
            <v:fill focussize="0,0"/>
            <v:stroke weight="0.6pt"/>
            <v:imagedata o:title=""/>
            <o:lock v:ext="edit"/>
          </v:line>
        </w:pict>
      </w:r>
      <w:r>
        <w:rPr>
          <w:spacing w:val="-2"/>
        </w:rPr>
        <w:t xml:space="preserve">本合同的暂列金是： </w:t>
      </w:r>
      <w:r>
        <w:rPr>
          <w:rFonts w:hint="eastAsia"/>
          <w:spacing w:val="-2"/>
        </w:rPr>
        <w:t>无</w:t>
      </w:r>
      <w:r>
        <w:rPr>
          <w:spacing w:val="-2"/>
        </w:rPr>
        <w:t>。暂列金应按委托人的书面指示全部或部分地使用，或根</w:t>
      </w:r>
      <w:r>
        <w:rPr>
          <w:spacing w:val="-4"/>
        </w:rPr>
        <w:t>本不予动用。暂列金主要用于监理范围和监理服务期变更产生的费用支付及其他不可预见情况发生</w:t>
      </w:r>
      <w:r>
        <w:rPr>
          <w:spacing w:val="-2"/>
        </w:rPr>
        <w:t>的费用。</w:t>
      </w:r>
    </w:p>
    <w:p>
      <w:pPr>
        <w:pStyle w:val="4"/>
        <w:numPr>
          <w:ilvl w:val="0"/>
          <w:numId w:val="25"/>
        </w:numPr>
        <w:tabs>
          <w:tab w:val="left" w:pos="723"/>
        </w:tabs>
        <w:spacing w:before="0"/>
        <w:ind w:left="722" w:hanging="485"/>
      </w:pPr>
      <w:bookmarkStart w:id="178" w:name="_bookmark211"/>
      <w:bookmarkEnd w:id="178"/>
      <w:r>
        <w:t>不可抗力</w:t>
      </w:r>
    </w:p>
    <w:p>
      <w:pPr>
        <w:pStyle w:val="6"/>
        <w:numPr>
          <w:ilvl w:val="1"/>
          <w:numId w:val="25"/>
        </w:numPr>
        <w:tabs>
          <w:tab w:val="left" w:pos="943"/>
        </w:tabs>
        <w:spacing w:before="266"/>
        <w:ind w:left="942" w:hanging="568"/>
        <w:rPr>
          <w:b/>
          <w:sz w:val="20"/>
        </w:rPr>
      </w:pPr>
      <w:bookmarkStart w:id="179" w:name="_bookmark212"/>
      <w:bookmarkEnd w:id="179"/>
      <w:r>
        <w:t>不可抗力的确认</w:t>
      </w:r>
    </w:p>
    <w:p>
      <w:pPr>
        <w:pStyle w:val="11"/>
        <w:ind w:left="655" w:leftChars="200" w:hanging="235" w:hangingChars="112"/>
        <w:rPr>
          <w:sz w:val="27"/>
        </w:rPr>
      </w:pPr>
      <w:r>
        <w:t>10.1.1</w:t>
      </w:r>
      <w:r>
        <w:rPr>
          <w:spacing w:val="-3"/>
        </w:rPr>
        <w:t xml:space="preserve"> 不 可 抗 力 的 其 他 情 形 ：</w:t>
      </w:r>
      <w:r>
        <w:rPr>
          <w:rFonts w:hint="eastAsia"/>
          <w:spacing w:val="-3"/>
          <w:u w:val="single"/>
        </w:rPr>
        <w:t>无</w:t>
      </w:r>
    </w:p>
    <w:p>
      <w:pPr>
        <w:pStyle w:val="4"/>
        <w:numPr>
          <w:ilvl w:val="0"/>
          <w:numId w:val="25"/>
        </w:numPr>
        <w:tabs>
          <w:tab w:val="left" w:pos="723"/>
        </w:tabs>
        <w:spacing w:before="54"/>
        <w:ind w:left="722" w:hanging="485"/>
      </w:pPr>
      <w:bookmarkStart w:id="180" w:name="_bookmark213"/>
      <w:bookmarkEnd w:id="180"/>
      <w:r>
        <w:t>违约</w:t>
      </w:r>
    </w:p>
    <w:p>
      <w:pPr>
        <w:pStyle w:val="6"/>
        <w:numPr>
          <w:ilvl w:val="1"/>
          <w:numId w:val="25"/>
        </w:numPr>
        <w:tabs>
          <w:tab w:val="left" w:pos="943"/>
        </w:tabs>
        <w:spacing w:before="264"/>
        <w:ind w:left="942" w:hanging="568"/>
        <w:rPr>
          <w:sz w:val="20"/>
        </w:rPr>
      </w:pPr>
      <w:bookmarkStart w:id="181" w:name="_bookmark214"/>
      <w:bookmarkEnd w:id="181"/>
      <w:r>
        <w:t>监理人违约</w:t>
      </w:r>
    </w:p>
    <w:p>
      <w:pPr>
        <w:pStyle w:val="11"/>
        <w:spacing w:line="360" w:lineRule="auto"/>
        <w:ind w:left="658"/>
      </w:pPr>
      <w:r>
        <w:t>本款补充第 11.1.3 项：</w:t>
      </w:r>
    </w:p>
    <w:p>
      <w:pPr>
        <w:spacing w:before="129" w:line="360" w:lineRule="auto"/>
        <w:ind w:left="702"/>
      </w:pPr>
      <w:r>
        <w:t>11.1.3 违约的具体情形和处理</w:t>
      </w:r>
    </w:p>
    <w:p>
      <w:pPr>
        <w:widowControl/>
        <w:spacing w:line="360" w:lineRule="auto"/>
        <w:ind w:firstLine="420" w:firstLineChars="200"/>
        <w:jc w:val="left"/>
      </w:pPr>
      <w:r>
        <w:rPr>
          <w:rFonts w:hint="eastAsia" w:ascii="宋体" w:hAnsi="宋体" w:cs="宋体"/>
          <w:snapToGrid w:val="0"/>
          <w:color w:val="000000"/>
          <w:kern w:val="0"/>
          <w:szCs w:val="21"/>
        </w:rPr>
        <w:t>（1）监理人接到开始监理通知后没有按时进场，每延迟一日承担监理服务费总额</w:t>
      </w:r>
      <w:r>
        <w:rPr>
          <w:rFonts w:hint="eastAsia" w:ascii="宋体" w:hAnsi="宋体" w:cs="宋体"/>
          <w:snapToGrid w:val="0"/>
          <w:color w:val="000000"/>
          <w:kern w:val="0"/>
          <w:szCs w:val="21"/>
          <w:u w:val="single"/>
        </w:rPr>
        <w:t xml:space="preserve"> 0.1%</w:t>
      </w:r>
      <w:r>
        <w:rPr>
          <w:rFonts w:hint="eastAsia" w:ascii="宋体" w:hAnsi="宋体" w:cs="宋体"/>
          <w:snapToGrid w:val="0"/>
          <w:color w:val="000000"/>
          <w:kern w:val="0"/>
          <w:szCs w:val="21"/>
        </w:rPr>
        <w:t xml:space="preserve">的违约 </w:t>
      </w:r>
    </w:p>
    <w:p>
      <w:pPr>
        <w:widowControl/>
        <w:spacing w:line="360" w:lineRule="auto"/>
        <w:jc w:val="left"/>
      </w:pPr>
      <w:r>
        <w:rPr>
          <w:rFonts w:hint="eastAsia" w:ascii="宋体" w:hAnsi="宋体" w:cs="宋体"/>
          <w:snapToGrid w:val="0"/>
          <w:color w:val="000000"/>
          <w:kern w:val="0"/>
          <w:szCs w:val="21"/>
        </w:rPr>
        <w:t xml:space="preserve">金。 </w:t>
      </w:r>
    </w:p>
    <w:p>
      <w:pPr>
        <w:widowControl/>
        <w:spacing w:line="360" w:lineRule="auto"/>
        <w:ind w:firstLine="420" w:firstLineChars="200"/>
        <w:jc w:val="left"/>
      </w:pPr>
      <w:r>
        <w:rPr>
          <w:rFonts w:hint="eastAsia" w:ascii="宋体" w:hAnsi="宋体" w:cs="宋体"/>
          <w:snapToGrid w:val="0"/>
          <w:color w:val="000000"/>
          <w:kern w:val="0"/>
          <w:szCs w:val="21"/>
        </w:rPr>
        <w:t>（2）总监理工程师每月驻工地现场工作时间不少于</w:t>
      </w:r>
      <w:r>
        <w:rPr>
          <w:rFonts w:hint="eastAsia" w:ascii="宋体" w:hAnsi="宋体" w:cs="宋体"/>
          <w:snapToGrid w:val="0"/>
          <w:color w:val="000000"/>
          <w:kern w:val="0"/>
          <w:szCs w:val="21"/>
          <w:u w:val="single"/>
        </w:rPr>
        <w:t xml:space="preserve"> 22 </w:t>
      </w:r>
      <w:r>
        <w:rPr>
          <w:rFonts w:hint="eastAsia" w:ascii="宋体" w:hAnsi="宋体" w:cs="宋体"/>
          <w:snapToGrid w:val="0"/>
          <w:color w:val="000000"/>
          <w:kern w:val="0"/>
          <w:szCs w:val="21"/>
        </w:rPr>
        <w:t>日，否则承担</w:t>
      </w:r>
      <w:r>
        <w:rPr>
          <w:rFonts w:hint="eastAsia" w:ascii="宋体" w:hAnsi="宋体" w:cs="宋体"/>
          <w:snapToGrid w:val="0"/>
          <w:color w:val="000000"/>
          <w:kern w:val="0"/>
          <w:szCs w:val="21"/>
          <w:u w:val="single"/>
        </w:rPr>
        <w:t xml:space="preserve"> 500 </w:t>
      </w:r>
      <w:r>
        <w:rPr>
          <w:rFonts w:hint="eastAsia" w:ascii="宋体" w:hAnsi="宋体" w:cs="宋体"/>
          <w:snapToGrid w:val="0"/>
          <w:color w:val="000000"/>
          <w:kern w:val="0"/>
          <w:szCs w:val="21"/>
        </w:rPr>
        <w:t>元/日的违约金；其 他主要监理人员每月驻工地现场工作时间不少于</w:t>
      </w:r>
      <w:r>
        <w:rPr>
          <w:rFonts w:hint="eastAsia" w:ascii="宋体" w:hAnsi="宋体" w:cs="宋体"/>
          <w:snapToGrid w:val="0"/>
          <w:color w:val="000000"/>
          <w:kern w:val="0"/>
          <w:szCs w:val="21"/>
          <w:u w:val="single"/>
        </w:rPr>
        <w:t xml:space="preserve"> 22 </w:t>
      </w:r>
      <w:r>
        <w:rPr>
          <w:rFonts w:hint="eastAsia" w:ascii="宋体" w:hAnsi="宋体" w:cs="宋体"/>
          <w:snapToGrid w:val="0"/>
          <w:color w:val="000000"/>
          <w:kern w:val="0"/>
          <w:szCs w:val="21"/>
        </w:rPr>
        <w:t>日（按照监理人员进场计划进行考勤），否则承 担</w:t>
      </w:r>
      <w:r>
        <w:rPr>
          <w:rFonts w:hint="eastAsia" w:ascii="宋体" w:hAnsi="宋体" w:cs="宋体"/>
          <w:snapToGrid w:val="0"/>
          <w:color w:val="000000"/>
          <w:kern w:val="0"/>
          <w:szCs w:val="21"/>
          <w:u w:val="single"/>
        </w:rPr>
        <w:t xml:space="preserve"> 300 </w:t>
      </w:r>
      <w:r>
        <w:rPr>
          <w:rFonts w:hint="eastAsia" w:ascii="宋体" w:hAnsi="宋体" w:cs="宋体"/>
          <w:snapToGrid w:val="0"/>
          <w:color w:val="000000"/>
          <w:kern w:val="0"/>
          <w:szCs w:val="21"/>
        </w:rPr>
        <w:t xml:space="preserve">元/（日·人）的违约金。主要监理人员必须到委托人处进行签到考勤，不签到视为不到岗。 </w:t>
      </w:r>
    </w:p>
    <w:p>
      <w:pPr>
        <w:widowControl/>
        <w:spacing w:line="360" w:lineRule="auto"/>
        <w:ind w:firstLine="420" w:firstLineChars="200"/>
        <w:jc w:val="left"/>
      </w:pPr>
      <w:r>
        <w:rPr>
          <w:rFonts w:hint="eastAsia" w:ascii="宋体" w:hAnsi="宋体" w:cs="宋体"/>
          <w:snapToGrid w:val="0"/>
          <w:color w:val="000000"/>
          <w:kern w:val="0"/>
          <w:szCs w:val="21"/>
        </w:rPr>
        <w:t>（3）承诺的仪器和设备应根据工程建设需要和委托人要求进场 ，拖延到位的，承担</w:t>
      </w:r>
      <w:r>
        <w:rPr>
          <w:rFonts w:hint="eastAsia" w:ascii="宋体" w:hAnsi="宋体" w:cs="宋体"/>
          <w:snapToGrid w:val="0"/>
          <w:color w:val="000000"/>
          <w:kern w:val="0"/>
          <w:szCs w:val="21"/>
          <w:u w:val="single"/>
        </w:rPr>
        <w:t xml:space="preserve"> 1000 </w:t>
      </w:r>
      <w:r>
        <w:rPr>
          <w:rFonts w:hint="eastAsia" w:ascii="宋体" w:hAnsi="宋体" w:cs="宋体"/>
          <w:snapToGrid w:val="0"/>
          <w:color w:val="000000"/>
          <w:kern w:val="0"/>
          <w:szCs w:val="21"/>
        </w:rPr>
        <w:t xml:space="preserve">元/ </w:t>
      </w:r>
    </w:p>
    <w:p>
      <w:pPr>
        <w:widowControl/>
        <w:spacing w:line="360" w:lineRule="auto"/>
        <w:jc w:val="left"/>
      </w:pPr>
      <w:r>
        <w:rPr>
          <w:rFonts w:hint="eastAsia" w:ascii="宋体" w:hAnsi="宋体" w:cs="宋体"/>
          <w:snapToGrid w:val="0"/>
          <w:color w:val="000000"/>
          <w:kern w:val="0"/>
          <w:szCs w:val="21"/>
        </w:rPr>
        <w:t xml:space="preserve">（日·项）的违约金。 </w:t>
      </w:r>
    </w:p>
    <w:p>
      <w:pPr>
        <w:widowControl/>
        <w:spacing w:line="360" w:lineRule="auto"/>
        <w:ind w:firstLine="420" w:firstLineChars="200"/>
        <w:jc w:val="left"/>
      </w:pPr>
      <w:r>
        <w:rPr>
          <w:rFonts w:hint="eastAsia" w:ascii="宋体" w:hAnsi="宋体" w:cs="宋体"/>
          <w:snapToGrid w:val="0"/>
          <w:color w:val="000000"/>
          <w:kern w:val="0"/>
          <w:szCs w:val="21"/>
        </w:rPr>
        <w:t xml:space="preserve">（4）监理人应及时做好工程施工过程各种监理信息的收集、整理和归档，并保证现场记录、检 </w:t>
      </w:r>
    </w:p>
    <w:p>
      <w:pPr>
        <w:widowControl/>
        <w:spacing w:line="360" w:lineRule="auto"/>
        <w:jc w:val="left"/>
      </w:pPr>
      <w:r>
        <w:rPr>
          <w:rFonts w:hint="eastAsia" w:ascii="宋体" w:hAnsi="宋体" w:cs="宋体"/>
          <w:snapToGrid w:val="0"/>
          <w:color w:val="000000"/>
          <w:kern w:val="0"/>
          <w:szCs w:val="21"/>
        </w:rPr>
        <w:t>查等资料的完整和真实。应编制《监理日志》，并向委托人提交监理月报、监理专题报告、监理工作报告和监理工作总结报告，监理人未及时向委托人提交上述资料的，承担</w:t>
      </w:r>
      <w:r>
        <w:rPr>
          <w:rFonts w:hint="eastAsia" w:ascii="宋体" w:hAnsi="宋体" w:cs="宋体"/>
          <w:snapToGrid w:val="0"/>
          <w:color w:val="000000"/>
          <w:kern w:val="0"/>
          <w:szCs w:val="21"/>
          <w:u w:val="single"/>
        </w:rPr>
        <w:t xml:space="preserve"> 1000 </w:t>
      </w:r>
      <w:r>
        <w:rPr>
          <w:rFonts w:hint="eastAsia" w:ascii="宋体" w:hAnsi="宋体" w:cs="宋体"/>
          <w:snapToGrid w:val="0"/>
          <w:color w:val="000000"/>
          <w:kern w:val="0"/>
          <w:szCs w:val="21"/>
        </w:rPr>
        <w:t>元/次的违约金。</w:t>
      </w:r>
    </w:p>
    <w:p>
      <w:pPr>
        <w:pStyle w:val="107"/>
        <w:tabs>
          <w:tab w:val="left" w:pos="1258"/>
        </w:tabs>
        <w:spacing w:before="108"/>
        <w:jc w:val="left"/>
      </w:pPr>
      <w:r>
        <w:rPr>
          <w:rFonts w:hint="eastAsia" w:ascii="宋体" w:hAnsi="宋体" w:cs="宋体"/>
          <w:snapToGrid w:val="0"/>
          <w:color w:val="000000"/>
          <w:kern w:val="0"/>
          <w:szCs w:val="21"/>
        </w:rPr>
        <w:t>（5）</w:t>
      </w:r>
      <w:r>
        <w:rPr>
          <w:spacing w:val="-7"/>
        </w:rPr>
        <w:t xml:space="preserve">人员变更违约责任详见本节 </w:t>
      </w:r>
      <w:r>
        <w:t>4.4.1</w:t>
      </w:r>
      <w:r>
        <w:rPr>
          <w:spacing w:val="-20"/>
        </w:rPr>
        <w:t xml:space="preserve"> 项。</w:t>
      </w:r>
    </w:p>
    <w:p>
      <w:pPr>
        <w:pStyle w:val="11"/>
        <w:spacing w:before="1"/>
        <w:rPr>
          <w:sz w:val="22"/>
        </w:rPr>
      </w:pPr>
    </w:p>
    <w:p>
      <w:pPr>
        <w:pStyle w:val="4"/>
        <w:numPr>
          <w:ilvl w:val="0"/>
          <w:numId w:val="25"/>
        </w:numPr>
        <w:tabs>
          <w:tab w:val="left" w:pos="724"/>
        </w:tabs>
        <w:spacing w:before="0"/>
        <w:ind w:left="723" w:hanging="486"/>
      </w:pPr>
      <w:bookmarkStart w:id="182" w:name="_bookmark215"/>
      <w:bookmarkEnd w:id="182"/>
      <w:r>
        <w:t>争议的解决</w:t>
      </w:r>
    </w:p>
    <w:p>
      <w:pPr>
        <w:pStyle w:val="11"/>
        <w:spacing w:before="264" w:line="367" w:lineRule="auto"/>
        <w:ind w:left="238" w:right="1153" w:firstLine="420"/>
      </w:pPr>
      <w:r>
        <w:rPr>
          <w:spacing w:val="-4"/>
        </w:rPr>
        <w:t>委托人和监理人在履行合同中发生争议的，可以友好协商解决。合同当事人友好协商解决不成</w:t>
      </w:r>
      <w:r>
        <w:rPr>
          <w:spacing w:val="-2"/>
        </w:rPr>
        <w:t>的，选择</w:t>
      </w:r>
      <w:r>
        <w:rPr>
          <w:spacing w:val="-2"/>
          <w:highlight w:val="none"/>
        </w:rPr>
        <w:t>下列</w:t>
      </w:r>
      <w:r>
        <w:rPr>
          <w:rFonts w:hint="eastAsia"/>
          <w:spacing w:val="-2"/>
          <w:highlight w:val="none"/>
          <w:u w:val="single"/>
        </w:rPr>
        <w:t>（</w:t>
      </w:r>
      <w:r>
        <w:rPr>
          <w:rFonts w:hint="eastAsia"/>
          <w:spacing w:val="-2"/>
          <w:highlight w:val="none"/>
          <w:u w:val="single"/>
          <w:lang w:val="en-US" w:eastAsia="zh-CN"/>
        </w:rPr>
        <w:t>2</w:t>
      </w:r>
      <w:r>
        <w:rPr>
          <w:rFonts w:hint="eastAsia"/>
          <w:spacing w:val="-2"/>
          <w:highlight w:val="none"/>
          <w:u w:val="single"/>
        </w:rPr>
        <w:t>）</w:t>
      </w:r>
      <w:r>
        <w:rPr>
          <w:spacing w:val="-2"/>
          <w:highlight w:val="none"/>
        </w:rPr>
        <w:t>方式解</w:t>
      </w:r>
      <w:r>
        <w:rPr>
          <w:spacing w:val="-2"/>
        </w:rPr>
        <w:t xml:space="preserve">决： </w:t>
      </w:r>
    </w:p>
    <w:p>
      <w:pPr>
        <w:pStyle w:val="107"/>
        <w:numPr>
          <w:ilvl w:val="0"/>
          <w:numId w:val="26"/>
        </w:numPr>
        <w:tabs>
          <w:tab w:val="left" w:pos="1188"/>
        </w:tabs>
        <w:spacing w:line="264" w:lineRule="exact"/>
        <w:ind w:left="1184" w:leftChars="200" w:hanging="764" w:hangingChars="364"/>
      </w:pPr>
      <w:r>
        <w:t>向</w:t>
      </w:r>
      <w:r>
        <w:rPr>
          <w:rFonts w:hint="eastAsia"/>
          <w:u w:val="single"/>
        </w:rPr>
        <w:t xml:space="preserve">  </w:t>
      </w:r>
      <w:r>
        <w:rPr>
          <w:rFonts w:hint="eastAsia"/>
          <w:spacing w:val="6"/>
          <w:u w:val="single"/>
        </w:rPr>
        <w:t xml:space="preserve">/  </w:t>
      </w:r>
      <w:r>
        <w:rPr>
          <w:spacing w:val="6"/>
        </w:rPr>
        <w:t>仲裁委员会申请仲裁；</w:t>
      </w:r>
      <w:bookmarkStart w:id="258" w:name="_GoBack"/>
      <w:bookmarkEnd w:id="258"/>
    </w:p>
    <w:p>
      <w:pPr>
        <w:pStyle w:val="107"/>
        <w:numPr>
          <w:ilvl w:val="0"/>
          <w:numId w:val="26"/>
        </w:numPr>
        <w:tabs>
          <w:tab w:val="left" w:pos="1188"/>
        </w:tabs>
        <w:spacing w:before="139"/>
        <w:ind w:left="546" w:leftChars="200" w:hanging="126" w:hangingChars="60"/>
        <w:rPr>
          <w:sz w:val="20"/>
        </w:rPr>
      </w:pPr>
      <w:r>
        <w:t>向</w:t>
      </w:r>
      <w:r>
        <w:rPr>
          <w:rFonts w:hint="eastAsia"/>
          <w:u w:val="single"/>
        </w:rPr>
        <w:t xml:space="preserve"> </w:t>
      </w:r>
      <w:r>
        <w:rPr>
          <w:rFonts w:hint="eastAsia"/>
          <w:spacing w:val="6"/>
          <w:u w:val="single"/>
        </w:rPr>
        <w:t>项目所在地</w:t>
      </w:r>
      <w:r>
        <w:rPr>
          <w:rFonts w:hint="eastAsia"/>
          <w:u w:val="single"/>
        </w:rPr>
        <w:t xml:space="preserve"> </w:t>
      </w:r>
      <w:r>
        <w:rPr>
          <w:spacing w:val="6"/>
        </w:rPr>
        <w:t>人民法院提起诉讼。</w:t>
      </w:r>
    </w:p>
    <w:p>
      <w:pPr>
        <w:pStyle w:val="11"/>
        <w:spacing w:before="4"/>
        <w:rPr>
          <w:sz w:val="17"/>
        </w:rPr>
      </w:pPr>
    </w:p>
    <w:p>
      <w:pPr>
        <w:pStyle w:val="11"/>
        <w:spacing w:before="72"/>
        <w:ind w:left="658"/>
        <w:rPr>
          <w:sz w:val="20"/>
        </w:rPr>
      </w:pPr>
      <w:r>
        <w:t xml:space="preserve">本节补充第 13 条 </w:t>
      </w:r>
    </w:p>
    <w:p>
      <w:pPr>
        <w:pStyle w:val="4"/>
        <w:numPr>
          <w:ilvl w:val="0"/>
          <w:numId w:val="25"/>
        </w:numPr>
        <w:tabs>
          <w:tab w:val="left" w:pos="724"/>
        </w:tabs>
        <w:spacing w:before="142"/>
        <w:ind w:left="723" w:hanging="486"/>
      </w:pPr>
      <w:bookmarkStart w:id="183" w:name="_bookmark216"/>
      <w:bookmarkEnd w:id="183"/>
      <w:r>
        <w:t>其他</w:t>
      </w:r>
    </w:p>
    <w:p>
      <w:pPr>
        <w:pStyle w:val="107"/>
        <w:numPr>
          <w:ilvl w:val="1"/>
          <w:numId w:val="25"/>
        </w:numPr>
        <w:tabs>
          <w:tab w:val="left" w:pos="1226"/>
        </w:tabs>
        <w:spacing w:before="264" w:line="367" w:lineRule="auto"/>
        <w:ind w:right="36" w:firstLine="408"/>
      </w:pPr>
      <w:r>
        <w:rPr>
          <w:spacing w:val="-3"/>
        </w:rPr>
        <w:t>项目建设单位应按照《安徽省水利工程建设施工监理企业信用评价实施意见（</w:t>
      </w:r>
      <w:r>
        <w:rPr>
          <w:spacing w:val="-2"/>
        </w:rPr>
        <w:t>试行</w:t>
      </w:r>
      <w:r>
        <w:rPr>
          <w:spacing w:val="-106"/>
        </w:rPr>
        <w:t>）</w:t>
      </w:r>
      <w:r>
        <w:rPr>
          <w:spacing w:val="-3"/>
        </w:rPr>
        <w:t>》评分细则，建立监理企业合同履行情况台帐。</w:t>
      </w:r>
    </w:p>
    <w:p>
      <w:pPr>
        <w:spacing w:line="367" w:lineRule="auto"/>
        <w:sectPr>
          <w:footerReference r:id="rId3" w:type="default"/>
          <w:pgSz w:w="11910" w:h="16840"/>
          <w:pgMar w:top="1417" w:right="1417" w:bottom="1417" w:left="1417" w:header="0" w:footer="1329" w:gutter="0"/>
          <w:cols w:space="720" w:num="1"/>
        </w:sectPr>
      </w:pPr>
    </w:p>
    <w:p>
      <w:pPr>
        <w:pStyle w:val="4"/>
        <w:numPr>
          <w:ilvl w:val="0"/>
          <w:numId w:val="27"/>
        </w:numPr>
        <w:spacing w:before="0" w:after="0" w:line="560" w:lineRule="exact"/>
        <w:jc w:val="center"/>
        <w:rPr>
          <w:rFonts w:eastAsiaTheme="minorEastAsia" w:cstheme="minorBidi"/>
          <w:sz w:val="24"/>
        </w:rPr>
      </w:pPr>
      <w:bookmarkStart w:id="184" w:name="_Toc17199"/>
      <w:r>
        <w:rPr>
          <w:rFonts w:hint="eastAsia" w:ascii="宋体" w:hAnsi="宋体" w:eastAsia="宋体" w:cs="宋体"/>
          <w:sz w:val="28"/>
          <w:szCs w:val="28"/>
        </w:rPr>
        <w:t>采购需求</w:t>
      </w:r>
      <w:bookmarkEnd w:id="184"/>
    </w:p>
    <w:p>
      <w:pPr>
        <w:pStyle w:val="66"/>
        <w:spacing w:before="0" w:after="0" w:line="440" w:lineRule="exact"/>
        <w:rPr>
          <w:rFonts w:cs="宋体"/>
          <w:b w:val="0"/>
          <w:bCs/>
          <w:color w:val="FF0000"/>
          <w:kern w:val="2"/>
          <w:sz w:val="24"/>
          <w:szCs w:val="24"/>
        </w:rPr>
      </w:pPr>
    </w:p>
    <w:p>
      <w:pPr>
        <w:pStyle w:val="11"/>
        <w:spacing w:before="1" w:line="440" w:lineRule="exact"/>
        <w:rPr>
          <w:sz w:val="24"/>
        </w:rPr>
      </w:pPr>
      <w:r>
        <w:rPr>
          <w:rFonts w:hint="eastAsia" w:ascii="宋体" w:hAnsi="宋体" w:cs="宋体"/>
          <w:color w:val="000000"/>
          <w:kern w:val="0"/>
          <w:sz w:val="24"/>
        </w:rPr>
        <w:t>（一）</w:t>
      </w:r>
      <w:r>
        <w:rPr>
          <w:sz w:val="24"/>
        </w:rPr>
        <w:t>监理大纲应包括（但不限于）下列</w:t>
      </w:r>
      <w:r>
        <w:rPr>
          <w:rFonts w:hint="eastAsia"/>
          <w:sz w:val="24"/>
        </w:rPr>
        <w:t>内</w:t>
      </w:r>
      <w:r>
        <w:rPr>
          <w:sz w:val="24"/>
        </w:rPr>
        <w:t xml:space="preserve">容： </w:t>
      </w:r>
    </w:p>
    <w:p>
      <w:pPr>
        <w:pStyle w:val="11"/>
        <w:spacing w:before="1" w:line="440" w:lineRule="exact"/>
        <w:ind w:firstLine="480" w:firstLineChars="200"/>
        <w:rPr>
          <w:sz w:val="24"/>
        </w:rPr>
      </w:pPr>
      <w:r>
        <w:rPr>
          <w:rFonts w:hint="eastAsia"/>
          <w:sz w:val="24"/>
        </w:rPr>
        <w:t>1</w:t>
      </w:r>
      <w:r>
        <w:rPr>
          <w:sz w:val="24"/>
        </w:rPr>
        <w:t xml:space="preserve">、监理工程概况； </w:t>
      </w:r>
    </w:p>
    <w:p>
      <w:pPr>
        <w:pStyle w:val="11"/>
        <w:spacing w:line="440" w:lineRule="exact"/>
        <w:ind w:firstLine="480" w:firstLineChars="200"/>
        <w:outlineLvl w:val="0"/>
        <w:rPr>
          <w:sz w:val="24"/>
        </w:rPr>
      </w:pPr>
      <w:bookmarkStart w:id="185" w:name="_Toc31987"/>
      <w:bookmarkStart w:id="186" w:name="_Toc24163"/>
      <w:r>
        <w:rPr>
          <w:rFonts w:hint="eastAsia"/>
          <w:sz w:val="24"/>
        </w:rPr>
        <w:t>2</w:t>
      </w:r>
      <w:r>
        <w:rPr>
          <w:sz w:val="24"/>
        </w:rPr>
        <w:t>、监理范围、监理内容；</w:t>
      </w:r>
      <w:bookmarkEnd w:id="185"/>
      <w:bookmarkEnd w:id="186"/>
    </w:p>
    <w:p>
      <w:pPr>
        <w:pStyle w:val="11"/>
        <w:spacing w:before="139" w:line="440" w:lineRule="exact"/>
        <w:ind w:firstLine="480" w:firstLineChars="200"/>
        <w:outlineLvl w:val="0"/>
        <w:rPr>
          <w:sz w:val="24"/>
        </w:rPr>
      </w:pPr>
      <w:bookmarkStart w:id="187" w:name="_Toc28973"/>
      <w:bookmarkStart w:id="188" w:name="_Toc20148"/>
      <w:r>
        <w:rPr>
          <w:rFonts w:hint="eastAsia"/>
          <w:sz w:val="24"/>
        </w:rPr>
        <w:t>3</w:t>
      </w:r>
      <w:r>
        <w:rPr>
          <w:sz w:val="24"/>
        </w:rPr>
        <w:t>、监理依据、监理工作目标；</w:t>
      </w:r>
      <w:bookmarkEnd w:id="187"/>
      <w:bookmarkEnd w:id="188"/>
    </w:p>
    <w:p>
      <w:pPr>
        <w:pStyle w:val="11"/>
        <w:spacing w:before="139" w:line="440" w:lineRule="exact"/>
        <w:ind w:firstLine="468" w:firstLineChars="200"/>
        <w:outlineLvl w:val="0"/>
        <w:rPr>
          <w:spacing w:val="-3"/>
          <w:sz w:val="24"/>
        </w:rPr>
      </w:pPr>
      <w:bookmarkStart w:id="189" w:name="_Toc12250"/>
      <w:bookmarkStart w:id="190" w:name="_Toc17287"/>
      <w:r>
        <w:rPr>
          <w:rFonts w:hint="eastAsia"/>
          <w:spacing w:val="-3"/>
          <w:sz w:val="24"/>
        </w:rPr>
        <w:t>4</w:t>
      </w:r>
      <w:r>
        <w:rPr>
          <w:spacing w:val="-3"/>
          <w:sz w:val="24"/>
        </w:rPr>
        <w:t>、监理机构设置（</w:t>
      </w:r>
      <w:r>
        <w:rPr>
          <w:spacing w:val="-2"/>
          <w:sz w:val="24"/>
        </w:rPr>
        <w:t>框图</w:t>
      </w:r>
      <w:r>
        <w:rPr>
          <w:spacing w:val="-108"/>
          <w:sz w:val="24"/>
        </w:rPr>
        <w:t>）</w:t>
      </w:r>
      <w:r>
        <w:rPr>
          <w:spacing w:val="-3"/>
          <w:sz w:val="24"/>
        </w:rPr>
        <w:t xml:space="preserve">、岗位职责； </w:t>
      </w:r>
    </w:p>
    <w:p>
      <w:pPr>
        <w:pStyle w:val="11"/>
        <w:spacing w:before="139" w:line="440" w:lineRule="exact"/>
        <w:ind w:right="4941" w:firstLine="468" w:firstLineChars="200"/>
        <w:outlineLvl w:val="0"/>
        <w:rPr>
          <w:sz w:val="24"/>
        </w:rPr>
      </w:pPr>
      <w:r>
        <w:rPr>
          <w:rFonts w:hint="eastAsia"/>
          <w:spacing w:val="-3"/>
          <w:sz w:val="24"/>
        </w:rPr>
        <w:t>5</w:t>
      </w:r>
      <w:r>
        <w:rPr>
          <w:spacing w:val="-3"/>
          <w:sz w:val="24"/>
        </w:rPr>
        <w:t>、监理工作程序、方法和制度；</w:t>
      </w:r>
      <w:bookmarkEnd w:id="189"/>
      <w:bookmarkEnd w:id="190"/>
    </w:p>
    <w:p>
      <w:pPr>
        <w:pStyle w:val="11"/>
        <w:spacing w:line="440" w:lineRule="exact"/>
        <w:ind w:firstLine="468" w:firstLineChars="200"/>
        <w:rPr>
          <w:spacing w:val="-3"/>
          <w:sz w:val="24"/>
        </w:rPr>
      </w:pPr>
      <w:r>
        <w:rPr>
          <w:rFonts w:hint="eastAsia"/>
          <w:spacing w:val="-3"/>
          <w:sz w:val="24"/>
        </w:rPr>
        <w:t>6</w:t>
      </w:r>
      <w:r>
        <w:rPr>
          <w:spacing w:val="-3"/>
          <w:sz w:val="24"/>
        </w:rPr>
        <w:t>、拟投入的监理人员、试验检测仪器等设备；</w:t>
      </w:r>
    </w:p>
    <w:p>
      <w:pPr>
        <w:pStyle w:val="11"/>
        <w:spacing w:line="440" w:lineRule="exact"/>
        <w:ind w:firstLine="468" w:firstLineChars="200"/>
        <w:rPr>
          <w:spacing w:val="-3"/>
          <w:sz w:val="24"/>
        </w:rPr>
      </w:pPr>
      <w:r>
        <w:rPr>
          <w:rFonts w:hint="eastAsia"/>
          <w:spacing w:val="-3"/>
          <w:sz w:val="24"/>
        </w:rPr>
        <w:t>7</w:t>
      </w:r>
      <w:r>
        <w:rPr>
          <w:spacing w:val="-3"/>
          <w:sz w:val="24"/>
        </w:rPr>
        <w:t>、质量、进度、造价、安全、环保监理措施；</w:t>
      </w:r>
    </w:p>
    <w:p>
      <w:pPr>
        <w:pStyle w:val="11"/>
        <w:spacing w:line="440" w:lineRule="exact"/>
        <w:ind w:right="4100" w:firstLine="468" w:firstLineChars="200"/>
        <w:rPr>
          <w:sz w:val="24"/>
        </w:rPr>
      </w:pPr>
      <w:r>
        <w:rPr>
          <w:rFonts w:hint="eastAsia"/>
          <w:spacing w:val="-3"/>
          <w:sz w:val="24"/>
        </w:rPr>
        <w:t>8</w:t>
      </w:r>
      <w:r>
        <w:rPr>
          <w:spacing w:val="-3"/>
          <w:sz w:val="24"/>
        </w:rPr>
        <w:t xml:space="preserve">、合同、信息管理方案； </w:t>
      </w:r>
    </w:p>
    <w:p>
      <w:pPr>
        <w:pStyle w:val="11"/>
        <w:spacing w:line="440" w:lineRule="exact"/>
        <w:ind w:firstLine="468" w:firstLineChars="200"/>
        <w:outlineLvl w:val="0"/>
        <w:rPr>
          <w:sz w:val="24"/>
        </w:rPr>
      </w:pPr>
      <w:bookmarkStart w:id="191" w:name="_Toc3064"/>
      <w:bookmarkStart w:id="192" w:name="_Toc21351"/>
      <w:r>
        <w:rPr>
          <w:rFonts w:hint="eastAsia"/>
          <w:spacing w:val="-3"/>
          <w:sz w:val="24"/>
        </w:rPr>
        <w:t>9</w:t>
      </w:r>
      <w:r>
        <w:rPr>
          <w:spacing w:val="-3"/>
          <w:sz w:val="24"/>
        </w:rPr>
        <w:t>、组织协调内容及措施；</w:t>
      </w:r>
      <w:bookmarkEnd w:id="191"/>
      <w:bookmarkEnd w:id="192"/>
    </w:p>
    <w:p>
      <w:pPr>
        <w:pStyle w:val="11"/>
        <w:spacing w:before="138" w:line="440" w:lineRule="exact"/>
        <w:ind w:firstLine="480" w:firstLineChars="200"/>
        <w:outlineLvl w:val="0"/>
        <w:rPr>
          <w:sz w:val="24"/>
        </w:rPr>
      </w:pPr>
      <w:bookmarkStart w:id="193" w:name="_Toc15349"/>
      <w:bookmarkStart w:id="194" w:name="_Toc20055"/>
      <w:r>
        <w:rPr>
          <w:rFonts w:hint="eastAsia"/>
          <w:sz w:val="24"/>
        </w:rPr>
        <w:t>10</w:t>
      </w:r>
      <w:r>
        <w:rPr>
          <w:sz w:val="24"/>
        </w:rPr>
        <w:t>、监理工作重点、难点分析；</w:t>
      </w:r>
      <w:bookmarkEnd w:id="193"/>
      <w:bookmarkEnd w:id="194"/>
    </w:p>
    <w:p>
      <w:pPr>
        <w:widowControl/>
        <w:spacing w:line="440" w:lineRule="exact"/>
        <w:ind w:firstLine="480" w:firstLineChars="200"/>
        <w:rPr>
          <w:szCs w:val="21"/>
        </w:rPr>
      </w:pPr>
      <w:bookmarkStart w:id="195" w:name="_Toc29404"/>
      <w:bookmarkStart w:id="196" w:name="_Toc17103"/>
      <w:r>
        <w:rPr>
          <w:rFonts w:hint="eastAsia"/>
          <w:sz w:val="24"/>
          <w:szCs w:val="24"/>
        </w:rPr>
        <w:t>11</w:t>
      </w:r>
      <w:r>
        <w:rPr>
          <w:sz w:val="24"/>
          <w:szCs w:val="24"/>
        </w:rPr>
        <w:t>、对本项目工程建设的合理化建议。</w:t>
      </w:r>
      <w:bookmarkEnd w:id="195"/>
      <w:bookmarkEnd w:id="196"/>
      <w:r>
        <w:rPr>
          <w:rFonts w:hint="eastAsia" w:ascii="宋体" w:hAnsi="宋体" w:cs="宋体"/>
          <w:sz w:val="28"/>
          <w:szCs w:val="28"/>
        </w:rPr>
        <w:br w:type="page"/>
      </w:r>
      <w:r>
        <w:rPr>
          <w:rFonts w:hint="eastAsia" w:ascii="宋体" w:hAnsi="宋体" w:cs="宋体"/>
          <w:color w:val="000000"/>
          <w:kern w:val="0"/>
          <w:sz w:val="24"/>
          <w:szCs w:val="24"/>
        </w:rPr>
        <w:t>（二）</w:t>
      </w:r>
      <w:r>
        <w:rPr>
          <w:rFonts w:hint="eastAsia"/>
          <w:b/>
          <w:bCs/>
          <w:color w:val="000000"/>
          <w:sz w:val="24"/>
          <w:szCs w:val="24"/>
        </w:rPr>
        <w:t>拟投入本项目其他人员基本要求</w:t>
      </w:r>
    </w:p>
    <w:p>
      <w:pPr>
        <w:pStyle w:val="4"/>
        <w:rPr>
          <w:sz w:val="21"/>
          <w:szCs w:val="21"/>
          <w:highlight w:val="yellow"/>
        </w:rPr>
      </w:pPr>
    </w:p>
    <w:p>
      <w:pPr>
        <w:widowControl/>
        <w:jc w:val="center"/>
        <w:rPr>
          <w:b/>
          <w:bCs/>
          <w:sz w:val="28"/>
          <w:szCs w:val="28"/>
        </w:rPr>
      </w:pPr>
      <w:r>
        <w:rPr>
          <w:rFonts w:hint="eastAsia"/>
          <w:b/>
          <w:bCs/>
          <w:sz w:val="28"/>
          <w:szCs w:val="28"/>
        </w:rPr>
        <w:t>（总监理工程师除外）</w:t>
      </w:r>
    </w:p>
    <w:tbl>
      <w:tblPr>
        <w:tblStyle w:val="38"/>
        <w:tblW w:w="8910"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190"/>
        <w:gridCol w:w="2130"/>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1485" w:type="dxa"/>
            <w:vAlign w:val="center"/>
          </w:tcPr>
          <w:p>
            <w:pPr>
              <w:pStyle w:val="4"/>
              <w:jc w:val="center"/>
              <w:outlineLvl w:val="1"/>
              <w:rPr>
                <w:color w:val="FF0000"/>
                <w:sz w:val="21"/>
                <w:szCs w:val="21"/>
              </w:rPr>
            </w:pPr>
          </w:p>
        </w:tc>
        <w:tc>
          <w:tcPr>
            <w:tcW w:w="7425" w:type="dxa"/>
            <w:gridSpan w:val="3"/>
            <w:vAlign w:val="center"/>
          </w:tcPr>
          <w:p>
            <w:pPr>
              <w:tabs>
                <w:tab w:val="left" w:pos="315"/>
                <w:tab w:val="left" w:pos="8820"/>
              </w:tabs>
              <w:spacing w:beforeLines="100" w:afterLines="50"/>
              <w:ind w:right="267" w:rightChars="127"/>
              <w:jc w:val="center"/>
              <w:rPr>
                <w:color w:val="FF0000"/>
                <w:szCs w:val="21"/>
              </w:rPr>
            </w:pPr>
            <w:r>
              <w:rPr>
                <w:rFonts w:hint="eastAsia" w:ascii="Arial" w:hAnsi="Arial" w:eastAsia="黑体"/>
                <w:kern w:val="0"/>
                <w:sz w:val="24"/>
                <w:szCs w:val="24"/>
              </w:rPr>
              <w:t>霍山县2023年小型病险水库除险加固工程监理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85" w:type="dxa"/>
            <w:vAlign w:val="center"/>
          </w:tcPr>
          <w:p>
            <w:pPr>
              <w:pStyle w:val="4"/>
              <w:jc w:val="center"/>
              <w:outlineLvl w:val="1"/>
              <w:rPr>
                <w:b w:val="0"/>
                <w:sz w:val="24"/>
                <w:szCs w:val="24"/>
              </w:rPr>
            </w:pPr>
            <w:r>
              <w:rPr>
                <w:rFonts w:hint="eastAsia"/>
                <w:b w:val="0"/>
                <w:sz w:val="24"/>
                <w:szCs w:val="24"/>
              </w:rPr>
              <w:t>序号</w:t>
            </w:r>
          </w:p>
        </w:tc>
        <w:tc>
          <w:tcPr>
            <w:tcW w:w="2190" w:type="dxa"/>
            <w:vAlign w:val="center"/>
          </w:tcPr>
          <w:p>
            <w:pPr>
              <w:pStyle w:val="4"/>
              <w:jc w:val="center"/>
              <w:outlineLvl w:val="1"/>
              <w:rPr>
                <w:b w:val="0"/>
                <w:sz w:val="24"/>
                <w:szCs w:val="24"/>
              </w:rPr>
            </w:pPr>
            <w:r>
              <w:rPr>
                <w:rFonts w:hint="eastAsia"/>
                <w:b w:val="0"/>
                <w:sz w:val="24"/>
                <w:szCs w:val="24"/>
              </w:rPr>
              <w:t>岗位</w:t>
            </w:r>
          </w:p>
        </w:tc>
        <w:tc>
          <w:tcPr>
            <w:tcW w:w="2130" w:type="dxa"/>
            <w:vAlign w:val="center"/>
          </w:tcPr>
          <w:p>
            <w:pPr>
              <w:pStyle w:val="4"/>
              <w:jc w:val="center"/>
              <w:outlineLvl w:val="1"/>
              <w:rPr>
                <w:rFonts w:eastAsia="宋体"/>
                <w:b w:val="0"/>
                <w:sz w:val="24"/>
                <w:szCs w:val="24"/>
              </w:rPr>
            </w:pPr>
            <w:r>
              <w:rPr>
                <w:rFonts w:hint="eastAsia"/>
                <w:b w:val="0"/>
                <w:sz w:val="24"/>
                <w:szCs w:val="24"/>
              </w:rPr>
              <w:t>数量</w:t>
            </w:r>
            <w:r>
              <w:rPr>
                <w:rFonts w:hint="eastAsia" w:eastAsia="宋体"/>
                <w:b w:val="0"/>
                <w:sz w:val="24"/>
                <w:szCs w:val="24"/>
              </w:rPr>
              <w:t>(</w:t>
            </w:r>
            <w:r>
              <w:rPr>
                <w:rFonts w:hint="eastAsia"/>
                <w:b w:val="0"/>
                <w:sz w:val="24"/>
                <w:szCs w:val="24"/>
              </w:rPr>
              <w:t>人</w:t>
            </w:r>
            <w:r>
              <w:rPr>
                <w:rFonts w:hint="eastAsia" w:eastAsia="宋体"/>
                <w:b w:val="0"/>
                <w:sz w:val="24"/>
                <w:szCs w:val="24"/>
              </w:rPr>
              <w:t>)</w:t>
            </w:r>
          </w:p>
        </w:tc>
        <w:tc>
          <w:tcPr>
            <w:tcW w:w="3105" w:type="dxa"/>
            <w:vAlign w:val="center"/>
          </w:tcPr>
          <w:p>
            <w:pPr>
              <w:widowControl/>
              <w:jc w:val="center"/>
              <w:rPr>
                <w:b w:val="0"/>
                <w:sz w:val="24"/>
                <w:szCs w:val="24"/>
              </w:rPr>
            </w:pPr>
            <w:r>
              <w:rPr>
                <w:rFonts w:hint="eastAsia"/>
                <w:color w:val="000000"/>
                <w:sz w:val="24"/>
                <w:szCs w:val="24"/>
              </w:rPr>
              <w:t>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85" w:type="dxa"/>
            <w:vMerge w:val="restart"/>
            <w:vAlign w:val="center"/>
          </w:tcPr>
          <w:p>
            <w:pPr>
              <w:pStyle w:val="4"/>
              <w:jc w:val="center"/>
              <w:outlineLvl w:val="1"/>
              <w:rPr>
                <w:sz w:val="24"/>
                <w:szCs w:val="24"/>
              </w:rPr>
            </w:pPr>
            <w:r>
              <w:rPr>
                <w:rFonts w:hint="eastAsia"/>
                <w:sz w:val="24"/>
                <w:szCs w:val="24"/>
              </w:rPr>
              <w:t>1</w:t>
            </w:r>
          </w:p>
        </w:tc>
        <w:tc>
          <w:tcPr>
            <w:tcW w:w="2190" w:type="dxa"/>
            <w:vMerge w:val="restart"/>
            <w:vAlign w:val="center"/>
          </w:tcPr>
          <w:p>
            <w:pPr>
              <w:widowControl/>
              <w:jc w:val="center"/>
              <w:rPr>
                <w:rFonts w:ascii="宋体" w:hAnsi="宋体" w:cs="宋体"/>
                <w:snapToGrid w:val="0"/>
                <w:kern w:val="0"/>
                <w:sz w:val="24"/>
                <w:szCs w:val="24"/>
              </w:rPr>
            </w:pPr>
            <w:r>
              <w:rPr>
                <w:rFonts w:hint="eastAsia" w:ascii="宋体" w:hAnsi="宋体" w:cs="宋体"/>
                <w:snapToGrid w:val="0"/>
                <w:kern w:val="0"/>
                <w:sz w:val="24"/>
                <w:szCs w:val="24"/>
              </w:rPr>
              <w:t>监理工程师</w:t>
            </w:r>
          </w:p>
        </w:tc>
        <w:tc>
          <w:tcPr>
            <w:tcW w:w="2130" w:type="dxa"/>
            <w:vMerge w:val="restart"/>
            <w:vAlign w:val="center"/>
          </w:tcPr>
          <w:p>
            <w:pPr>
              <w:widowControl/>
              <w:jc w:val="center"/>
              <w:rPr>
                <w:rFonts w:ascii="宋体" w:hAnsi="宋体" w:cs="宋体"/>
                <w:snapToGrid w:val="0"/>
                <w:kern w:val="0"/>
                <w:sz w:val="24"/>
                <w:szCs w:val="24"/>
              </w:rPr>
            </w:pPr>
            <w:r>
              <w:rPr>
                <w:rFonts w:hint="eastAsia" w:ascii="宋体" w:hAnsi="宋体" w:cs="宋体"/>
                <w:snapToGrid w:val="0"/>
                <w:kern w:val="0"/>
                <w:sz w:val="24"/>
                <w:szCs w:val="24"/>
              </w:rPr>
              <w:t>2</w:t>
            </w:r>
          </w:p>
        </w:tc>
        <w:tc>
          <w:tcPr>
            <w:tcW w:w="3105" w:type="dxa"/>
            <w:vMerge w:val="restart"/>
            <w:vAlign w:val="center"/>
          </w:tcPr>
          <w:p>
            <w:pPr>
              <w:widowControl/>
              <w:jc w:val="center"/>
              <w:rPr>
                <w:sz w:val="24"/>
                <w:szCs w:val="24"/>
              </w:rPr>
            </w:pPr>
            <w:r>
              <w:rPr>
                <w:rFonts w:hint="eastAsia" w:ascii="宋体" w:hAnsi="宋体" w:cs="宋体"/>
                <w:snapToGrid w:val="0"/>
                <w:kern w:val="0"/>
                <w:sz w:val="24"/>
                <w:szCs w:val="24"/>
              </w:rPr>
              <w:t>水利水电工程相关专业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85" w:type="dxa"/>
            <w:vMerge w:val="continue"/>
            <w:vAlign w:val="center"/>
          </w:tcPr>
          <w:p>
            <w:pPr>
              <w:pStyle w:val="4"/>
              <w:jc w:val="center"/>
              <w:outlineLvl w:val="1"/>
              <w:rPr>
                <w:sz w:val="24"/>
                <w:szCs w:val="24"/>
              </w:rPr>
            </w:pPr>
          </w:p>
        </w:tc>
        <w:tc>
          <w:tcPr>
            <w:tcW w:w="2190" w:type="dxa"/>
            <w:vMerge w:val="continue"/>
            <w:vAlign w:val="center"/>
          </w:tcPr>
          <w:p>
            <w:pPr>
              <w:pStyle w:val="4"/>
              <w:jc w:val="center"/>
              <w:outlineLvl w:val="1"/>
              <w:rPr>
                <w:rFonts w:ascii="宋体" w:hAnsi="宋体" w:eastAsia="宋体" w:cs="宋体"/>
                <w:b w:val="0"/>
                <w:snapToGrid w:val="0"/>
                <w:sz w:val="24"/>
                <w:szCs w:val="24"/>
              </w:rPr>
            </w:pPr>
          </w:p>
        </w:tc>
        <w:tc>
          <w:tcPr>
            <w:tcW w:w="2130" w:type="dxa"/>
            <w:vMerge w:val="continue"/>
            <w:vAlign w:val="center"/>
          </w:tcPr>
          <w:p>
            <w:pPr>
              <w:pStyle w:val="4"/>
              <w:ind w:firstLine="240" w:firstLineChars="100"/>
              <w:jc w:val="center"/>
              <w:outlineLvl w:val="1"/>
              <w:rPr>
                <w:rFonts w:ascii="宋体" w:hAnsi="宋体" w:eastAsia="宋体" w:cs="宋体"/>
                <w:b w:val="0"/>
                <w:snapToGrid w:val="0"/>
                <w:sz w:val="24"/>
                <w:szCs w:val="24"/>
              </w:rPr>
            </w:pPr>
          </w:p>
        </w:tc>
        <w:tc>
          <w:tcPr>
            <w:tcW w:w="3105" w:type="dxa"/>
            <w:vMerge w:val="continue"/>
            <w:vAlign w:val="center"/>
          </w:tcPr>
          <w:p>
            <w:pPr>
              <w:widowControl/>
              <w:jc w:val="center"/>
              <w:rPr>
                <w:rFonts w:ascii="宋体" w:hAnsi="宋体" w:cs="宋体"/>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85" w:type="dxa"/>
            <w:vAlign w:val="center"/>
          </w:tcPr>
          <w:p>
            <w:pPr>
              <w:pStyle w:val="4"/>
              <w:jc w:val="center"/>
              <w:outlineLvl w:val="1"/>
              <w:rPr>
                <w:sz w:val="24"/>
                <w:szCs w:val="24"/>
              </w:rPr>
            </w:pPr>
            <w:r>
              <w:rPr>
                <w:rFonts w:hint="eastAsia"/>
                <w:sz w:val="24"/>
                <w:szCs w:val="24"/>
              </w:rPr>
              <w:t>2</w:t>
            </w:r>
          </w:p>
        </w:tc>
        <w:tc>
          <w:tcPr>
            <w:tcW w:w="2190" w:type="dxa"/>
            <w:vAlign w:val="center"/>
          </w:tcPr>
          <w:p>
            <w:pPr>
              <w:pStyle w:val="4"/>
              <w:jc w:val="center"/>
              <w:outlineLvl w:val="1"/>
              <w:rPr>
                <w:rFonts w:ascii="宋体" w:hAnsi="宋体" w:eastAsia="宋体" w:cs="宋体"/>
                <w:b w:val="0"/>
                <w:snapToGrid w:val="0"/>
                <w:sz w:val="24"/>
                <w:szCs w:val="24"/>
              </w:rPr>
            </w:pPr>
            <w:r>
              <w:rPr>
                <w:rFonts w:hint="eastAsia" w:ascii="宋体" w:hAnsi="宋体" w:eastAsia="宋体" w:cs="宋体"/>
                <w:b w:val="0"/>
                <w:snapToGrid w:val="0"/>
                <w:sz w:val="24"/>
                <w:szCs w:val="24"/>
              </w:rPr>
              <w:t>监理员</w:t>
            </w:r>
          </w:p>
        </w:tc>
        <w:tc>
          <w:tcPr>
            <w:tcW w:w="2130" w:type="dxa"/>
            <w:vAlign w:val="center"/>
          </w:tcPr>
          <w:p>
            <w:pPr>
              <w:pStyle w:val="4"/>
              <w:ind w:firstLine="240" w:firstLineChars="100"/>
              <w:jc w:val="center"/>
              <w:outlineLvl w:val="1"/>
              <w:rPr>
                <w:rFonts w:ascii="宋体" w:hAnsi="宋体" w:eastAsia="宋体" w:cs="宋体"/>
                <w:b w:val="0"/>
                <w:snapToGrid w:val="0"/>
                <w:sz w:val="24"/>
                <w:szCs w:val="24"/>
              </w:rPr>
            </w:pPr>
            <w:r>
              <w:rPr>
                <w:rFonts w:hint="eastAsia" w:ascii="宋体" w:hAnsi="宋体" w:eastAsia="宋体" w:cs="宋体"/>
                <w:b w:val="0"/>
                <w:snapToGrid w:val="0"/>
                <w:sz w:val="24"/>
                <w:szCs w:val="24"/>
              </w:rPr>
              <w:t>根据工程需要合理配置</w:t>
            </w:r>
          </w:p>
        </w:tc>
        <w:tc>
          <w:tcPr>
            <w:tcW w:w="3105" w:type="dxa"/>
            <w:vAlign w:val="center"/>
          </w:tcPr>
          <w:p>
            <w:pPr>
              <w:pStyle w:val="4"/>
              <w:jc w:val="center"/>
              <w:outlineLvl w:val="1"/>
              <w:rPr>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675" w:type="dxa"/>
            <w:gridSpan w:val="2"/>
            <w:vAlign w:val="center"/>
          </w:tcPr>
          <w:p>
            <w:pPr>
              <w:pStyle w:val="4"/>
              <w:jc w:val="center"/>
              <w:outlineLvl w:val="1"/>
              <w:rPr>
                <w:b w:val="0"/>
                <w:sz w:val="24"/>
                <w:szCs w:val="24"/>
              </w:rPr>
            </w:pPr>
            <w:r>
              <w:rPr>
                <w:rFonts w:hint="eastAsia"/>
                <w:b w:val="0"/>
                <w:sz w:val="24"/>
                <w:szCs w:val="24"/>
              </w:rPr>
              <w:t>合计</w:t>
            </w:r>
          </w:p>
        </w:tc>
        <w:tc>
          <w:tcPr>
            <w:tcW w:w="2130" w:type="dxa"/>
            <w:vAlign w:val="center"/>
          </w:tcPr>
          <w:p>
            <w:pPr>
              <w:pStyle w:val="4"/>
              <w:ind w:firstLine="240" w:firstLineChars="100"/>
              <w:jc w:val="center"/>
              <w:outlineLvl w:val="1"/>
              <w:rPr>
                <w:rFonts w:eastAsia="宋体"/>
                <w:b w:val="0"/>
                <w:sz w:val="24"/>
                <w:szCs w:val="24"/>
              </w:rPr>
            </w:pPr>
          </w:p>
        </w:tc>
        <w:tc>
          <w:tcPr>
            <w:tcW w:w="3105" w:type="dxa"/>
            <w:vAlign w:val="center"/>
          </w:tcPr>
          <w:p>
            <w:pPr>
              <w:pStyle w:val="4"/>
              <w:jc w:val="center"/>
              <w:outlineLvl w:val="1"/>
              <w:rPr>
                <w:b w:val="0"/>
                <w:sz w:val="24"/>
                <w:szCs w:val="24"/>
              </w:rPr>
            </w:pPr>
          </w:p>
        </w:tc>
      </w:tr>
    </w:tbl>
    <w:p>
      <w:pPr>
        <w:widowControl/>
        <w:rPr>
          <w:rFonts w:hint="eastAsia"/>
          <w:b/>
          <w:bCs/>
          <w:color w:val="000000"/>
          <w:sz w:val="24"/>
          <w:szCs w:val="24"/>
        </w:rPr>
      </w:pPr>
    </w:p>
    <w:p>
      <w:pPr>
        <w:widowControl/>
        <w:ind w:firstLine="482" w:firstLineChars="200"/>
        <w:sectPr>
          <w:footerReference r:id="rId4" w:type="default"/>
          <w:pgSz w:w="11910" w:h="16840"/>
          <w:pgMar w:top="1417" w:right="1417" w:bottom="1417" w:left="1417" w:header="0" w:footer="937" w:gutter="0"/>
          <w:cols w:space="720" w:num="1"/>
        </w:sectPr>
      </w:pPr>
      <w:r>
        <w:rPr>
          <w:rFonts w:hint="eastAsia"/>
          <w:b/>
          <w:bCs/>
          <w:color w:val="000000"/>
          <w:sz w:val="24"/>
          <w:szCs w:val="24"/>
        </w:rPr>
        <w:t>备注：</w:t>
      </w:r>
      <w:r>
        <w:rPr>
          <w:rFonts w:hint="eastAsia" w:ascii="宋体" w:hAnsi="宋体" w:eastAsia="宋体" w:cs="宋体"/>
          <w:b w:val="0"/>
          <w:snapToGrid w:val="0"/>
          <w:kern w:val="0"/>
          <w:sz w:val="24"/>
          <w:szCs w:val="24"/>
          <w:lang w:val="en-US" w:eastAsia="zh-CN" w:bidi="ar-SA"/>
        </w:rPr>
        <w:t>以上人员为基本配置，投标人可自行增加，应满足现场监理工作需要和招标人要求。</w:t>
      </w:r>
    </w:p>
    <w:bookmarkEnd w:id="78"/>
    <w:p>
      <w:pPr>
        <w:pStyle w:val="4"/>
        <w:spacing w:before="0" w:afterLines="50" w:line="580" w:lineRule="exact"/>
        <w:jc w:val="center"/>
        <w:rPr>
          <w:rFonts w:ascii="宋体" w:hAnsi="宋体" w:eastAsia="宋体" w:cs="宋体"/>
        </w:rPr>
      </w:pPr>
      <w:bookmarkStart w:id="197" w:name="_Toc19815"/>
      <w:bookmarkStart w:id="198" w:name="_Toc25911"/>
      <w:bookmarkStart w:id="199" w:name="_Toc21831"/>
      <w:r>
        <w:rPr>
          <w:rFonts w:hint="eastAsia" w:ascii="宋体" w:hAnsi="宋体" w:eastAsia="宋体" w:cs="宋体"/>
          <w:sz w:val="28"/>
          <w:szCs w:val="28"/>
        </w:rPr>
        <w:t>四、评分标准</w:t>
      </w:r>
      <w:bookmarkEnd w:id="197"/>
      <w:bookmarkEnd w:id="198"/>
      <w:bookmarkEnd w:id="199"/>
    </w:p>
    <w:p>
      <w:pPr>
        <w:widowControl/>
        <w:ind w:firstLine="480" w:firstLineChars="200"/>
        <w:jc w:val="left"/>
        <w:rPr>
          <w:rFonts w:ascii="宋体" w:hAnsi="宋体" w:cs="宋体"/>
          <w:sz w:val="24"/>
          <w:szCs w:val="24"/>
        </w:rPr>
      </w:pPr>
      <w:r>
        <w:rPr>
          <w:rFonts w:hint="eastAsia" w:ascii="宋体" w:hAnsi="宋体" w:cs="宋体"/>
          <w:sz w:val="24"/>
          <w:szCs w:val="24"/>
        </w:rPr>
        <w:t>本次磋商采用综合评分法，商务（报价）评分标准为明标价法（明标价</w:t>
      </w:r>
      <w:r>
        <w:rPr>
          <w:rFonts w:hint="eastAsia" w:ascii="宋体" w:hAnsi="宋体" w:cs="宋体"/>
          <w:sz w:val="24"/>
          <w:szCs w:val="24"/>
          <w:lang w:eastAsia="zh-CN"/>
        </w:rPr>
        <w:t>即</w:t>
      </w:r>
      <w:r>
        <w:rPr>
          <w:rFonts w:hint="eastAsia" w:ascii="宋体" w:hAnsi="宋体" w:cs="宋体"/>
          <w:sz w:val="24"/>
          <w:szCs w:val="24"/>
        </w:rPr>
        <w:t>为最高限价：</w:t>
      </w:r>
      <w:r>
        <w:rPr>
          <w:rFonts w:hint="eastAsia" w:hAnsi="宋体" w:cs="宋体"/>
          <w:sz w:val="24"/>
          <w:szCs w:val="24"/>
          <w:shd w:val="clear" w:color="auto" w:fill="FFFFFF"/>
        </w:rPr>
        <w:t>批复中监理费用的80.00%</w:t>
      </w:r>
      <w:r>
        <w:rPr>
          <w:rFonts w:hint="eastAsia" w:ascii="宋体" w:hAnsi="宋体" w:cs="宋体"/>
          <w:sz w:val="24"/>
          <w:szCs w:val="24"/>
        </w:rPr>
        <w:t>）。总分51分，其中</w:t>
      </w:r>
      <w:r>
        <w:rPr>
          <w:rFonts w:hint="eastAsia" w:ascii="宋体" w:hAnsi="宋体" w:cs="宋体"/>
          <w:color w:val="000000"/>
          <w:kern w:val="0"/>
          <w:szCs w:val="21"/>
        </w:rPr>
        <w:t>资</w:t>
      </w:r>
      <w:r>
        <w:rPr>
          <w:rFonts w:hint="eastAsia" w:ascii="宋体" w:hAnsi="宋体" w:cs="宋体"/>
          <w:sz w:val="24"/>
          <w:szCs w:val="24"/>
        </w:rPr>
        <w:t>信业绩部分26 分，投标报价25分 。</w:t>
      </w:r>
    </w:p>
    <w:tbl>
      <w:tblPr>
        <w:tblStyle w:val="37"/>
        <w:tblpPr w:leftFromText="180" w:rightFromText="180" w:vertAnchor="text" w:horzAnchor="page" w:tblpX="1397" w:tblpY="319"/>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3"/>
        <w:gridCol w:w="2067"/>
        <w:gridCol w:w="6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983" w:type="dxa"/>
          </w:tcPr>
          <w:p>
            <w:pPr>
              <w:pStyle w:val="105"/>
              <w:spacing w:before="116"/>
              <w:ind w:left="145" w:right="31"/>
              <w:jc w:val="center"/>
              <w:rPr>
                <w:b/>
              </w:rPr>
            </w:pPr>
            <w:r>
              <w:rPr>
                <w:rFonts w:hint="eastAsia"/>
                <w:b/>
              </w:rPr>
              <w:t>类别</w:t>
            </w:r>
          </w:p>
        </w:tc>
        <w:tc>
          <w:tcPr>
            <w:tcW w:w="2067" w:type="dxa"/>
          </w:tcPr>
          <w:p>
            <w:pPr>
              <w:pStyle w:val="105"/>
              <w:spacing w:before="116"/>
              <w:ind w:left="145" w:right="31"/>
              <w:jc w:val="center"/>
              <w:rPr>
                <w:b/>
              </w:rPr>
            </w:pPr>
            <w:r>
              <w:rPr>
                <w:b/>
              </w:rPr>
              <w:t>评分因素</w:t>
            </w:r>
          </w:p>
        </w:tc>
        <w:tc>
          <w:tcPr>
            <w:tcW w:w="6330" w:type="dxa"/>
          </w:tcPr>
          <w:p>
            <w:pPr>
              <w:pStyle w:val="105"/>
              <w:spacing w:before="116"/>
              <w:ind w:left="252" w:right="138"/>
              <w:jc w:val="center"/>
              <w:rPr>
                <w:b/>
              </w:rPr>
            </w:pPr>
            <w:r>
              <w:rPr>
                <w:b/>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983" w:type="dxa"/>
            <w:vMerge w:val="restart"/>
            <w:vAlign w:val="center"/>
          </w:tcPr>
          <w:p>
            <w:pPr>
              <w:pStyle w:val="105"/>
              <w:jc w:val="center"/>
              <w:rPr>
                <w:sz w:val="20"/>
              </w:rPr>
            </w:pPr>
          </w:p>
          <w:p>
            <w:pPr>
              <w:pStyle w:val="105"/>
              <w:jc w:val="center"/>
              <w:rPr>
                <w:sz w:val="20"/>
              </w:rPr>
            </w:pPr>
          </w:p>
          <w:p>
            <w:pPr>
              <w:pStyle w:val="105"/>
              <w:jc w:val="center"/>
              <w:rPr>
                <w:sz w:val="20"/>
              </w:rPr>
            </w:pPr>
          </w:p>
          <w:p>
            <w:pPr>
              <w:pStyle w:val="105"/>
              <w:jc w:val="center"/>
              <w:rPr>
                <w:sz w:val="20"/>
              </w:rPr>
            </w:pPr>
          </w:p>
          <w:p>
            <w:pPr>
              <w:pStyle w:val="105"/>
              <w:jc w:val="center"/>
              <w:rPr>
                <w:sz w:val="20"/>
              </w:rPr>
            </w:pPr>
          </w:p>
          <w:p>
            <w:pPr>
              <w:pStyle w:val="105"/>
              <w:jc w:val="center"/>
              <w:rPr>
                <w:sz w:val="20"/>
              </w:rPr>
            </w:pPr>
          </w:p>
          <w:p>
            <w:pPr>
              <w:pStyle w:val="105"/>
              <w:jc w:val="center"/>
              <w:rPr>
                <w:sz w:val="20"/>
              </w:rPr>
            </w:pPr>
          </w:p>
          <w:p>
            <w:pPr>
              <w:pStyle w:val="105"/>
              <w:spacing w:before="1"/>
              <w:jc w:val="center"/>
            </w:pPr>
          </w:p>
          <w:p>
            <w:pPr>
              <w:pStyle w:val="105"/>
              <w:spacing w:before="1" w:line="285" w:lineRule="auto"/>
              <w:ind w:left="141" w:right="127"/>
              <w:jc w:val="center"/>
            </w:pPr>
            <w:r>
              <w:rPr>
                <w:spacing w:val="-5"/>
              </w:rPr>
              <w:t>资信业绩评分标准</w:t>
            </w:r>
          </w:p>
          <w:p>
            <w:pPr>
              <w:pStyle w:val="105"/>
              <w:ind w:left="114" w:right="-15"/>
              <w:jc w:val="center"/>
            </w:pPr>
            <w:r>
              <w:t>（</w:t>
            </w:r>
            <w:r>
              <w:rPr>
                <w:rFonts w:hint="eastAsia"/>
              </w:rPr>
              <w:t>26</w:t>
            </w:r>
            <w:r>
              <w:rPr>
                <w:spacing w:val="-26"/>
              </w:rPr>
              <w:t>分</w:t>
            </w:r>
            <w:r>
              <w:rPr>
                <w:spacing w:val="-3"/>
              </w:rPr>
              <w:t>）</w:t>
            </w:r>
          </w:p>
        </w:tc>
        <w:tc>
          <w:tcPr>
            <w:tcW w:w="2067" w:type="dxa"/>
            <w:vAlign w:val="center"/>
          </w:tcPr>
          <w:p>
            <w:pPr>
              <w:pStyle w:val="105"/>
              <w:spacing w:before="139"/>
              <w:ind w:right="31"/>
              <w:jc w:val="center"/>
            </w:pPr>
            <w:r>
              <w:t>投标人信用（</w:t>
            </w:r>
            <w:r>
              <w:rPr>
                <w:rFonts w:hint="eastAsia"/>
              </w:rPr>
              <w:t>6</w:t>
            </w:r>
            <w:r>
              <w:t>分）</w:t>
            </w:r>
          </w:p>
        </w:tc>
        <w:tc>
          <w:tcPr>
            <w:tcW w:w="633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1、依据安徽省水利建设市场信用信息平台公布的在皖企业市场行为分值进行赋分：市场行为分值≥95 分，得 6 分；85 分≤市场行为分值＜95 分，得 5.8分；75 分≤市场行为分值＜85 分，得 5.6分；其余不得分。（以评标委员会查询的结果为准）</w:t>
            </w:r>
          </w:p>
          <w:p>
            <w:pPr>
              <w:widowControl/>
              <w:jc w:val="left"/>
              <w:rPr>
                <w:rFonts w:ascii="宋体" w:hAnsi="宋体" w:cs="宋体"/>
                <w:color w:val="000000"/>
                <w:kern w:val="0"/>
                <w:szCs w:val="21"/>
              </w:rPr>
            </w:pPr>
            <w:r>
              <w:rPr>
                <w:rFonts w:hint="eastAsia" w:ascii="宋体" w:hAnsi="宋体" w:cs="宋体"/>
                <w:color w:val="000000"/>
                <w:kern w:val="0"/>
                <w:szCs w:val="21"/>
              </w:rPr>
              <w:t>2、每有 1 个不良记录扣 1 分，累计扣分不限,同一不良行为不重复扣分。（依据水利建设市场监管平台、安徽省水利建设市场信用信息平台公告（公开期限内）的不良记录，以评标委员会查询的结果为准）。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983" w:type="dxa"/>
            <w:vMerge w:val="continue"/>
            <w:vAlign w:val="center"/>
          </w:tcPr>
          <w:p>
            <w:pPr>
              <w:pStyle w:val="105"/>
              <w:jc w:val="center"/>
              <w:rPr>
                <w:sz w:val="20"/>
              </w:rPr>
            </w:pPr>
          </w:p>
        </w:tc>
        <w:tc>
          <w:tcPr>
            <w:tcW w:w="2067" w:type="dxa"/>
            <w:vAlign w:val="center"/>
          </w:tcPr>
          <w:p>
            <w:pPr>
              <w:pStyle w:val="105"/>
              <w:spacing w:before="143" w:line="285" w:lineRule="auto"/>
              <w:ind w:left="686" w:right="175" w:hanging="500"/>
              <w:jc w:val="center"/>
            </w:pPr>
            <w:r>
              <w:t>总监理工程师资历和业绩（</w:t>
            </w:r>
            <w:r>
              <w:rPr>
                <w:rFonts w:hint="eastAsia"/>
              </w:rPr>
              <w:t>6</w:t>
            </w:r>
            <w:r>
              <w:t>分）</w:t>
            </w:r>
          </w:p>
        </w:tc>
        <w:tc>
          <w:tcPr>
            <w:tcW w:w="633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1、具有水利水电相关专业中级及以上技术职称的得 2 分，否则不得分；</w:t>
            </w:r>
          </w:p>
          <w:p>
            <w:pPr>
              <w:widowControl/>
              <w:jc w:val="left"/>
              <w:rPr>
                <w:rFonts w:ascii="宋体" w:hAnsi="宋体" w:cs="宋体"/>
                <w:color w:val="000000"/>
                <w:kern w:val="0"/>
                <w:szCs w:val="21"/>
              </w:rPr>
            </w:pPr>
            <w:r>
              <w:rPr>
                <w:rFonts w:hint="eastAsia" w:ascii="宋体" w:hAnsi="宋体" w:cs="宋体"/>
                <w:color w:val="000000"/>
                <w:kern w:val="0"/>
                <w:szCs w:val="21"/>
              </w:rPr>
              <w:t>2、2020年1月1日至投标截止日每有 1 项类似项目总监业绩得2分，累计不超过 4分。</w:t>
            </w:r>
          </w:p>
          <w:p>
            <w:pPr>
              <w:widowControl/>
              <w:jc w:val="left"/>
              <w:rPr>
                <w:spacing w:val="-4"/>
              </w:rPr>
            </w:pPr>
            <w:r>
              <w:rPr>
                <w:rFonts w:hint="eastAsia" w:ascii="宋体" w:hAnsi="宋体" w:cs="宋体"/>
                <w:color w:val="000000"/>
                <w:kern w:val="0"/>
                <w:szCs w:val="21"/>
              </w:rPr>
              <w:t>备注：类似业绩指单项合同额不低于15万元的水利工程监理业绩,业绩金额以合同金额为准。需提供监理合同协议书</w:t>
            </w:r>
            <w:r>
              <w:rPr>
                <w:rFonts w:hint="eastAsia"/>
              </w:rPr>
              <w:t>以及委托方出具加盖公章的已完成证明等材料。(若项目总监类似业绩不能体现项目总监姓名，可提供业主加盖公章的证明材料)，</w:t>
            </w:r>
            <w:r>
              <w:rPr>
                <w:rFonts w:hint="eastAsia" w:ascii="宋体" w:hAnsi="宋体" w:cs="宋体"/>
                <w:color w:val="000000"/>
                <w:kern w:val="0"/>
                <w:szCs w:val="21"/>
              </w:rPr>
              <w:t>（以</w:t>
            </w:r>
            <w:r>
              <w:rPr>
                <w:rFonts w:hint="eastAsia"/>
              </w:rPr>
              <w:t>已完成证明</w:t>
            </w:r>
            <w:r>
              <w:rPr>
                <w:rFonts w:hint="eastAsia" w:ascii="宋体" w:hAnsi="宋体" w:cs="宋体"/>
                <w:color w:val="000000"/>
                <w:kern w:val="0"/>
                <w:szCs w:val="21"/>
              </w:rPr>
              <w:t>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983" w:type="dxa"/>
            <w:vMerge w:val="continue"/>
            <w:vAlign w:val="center"/>
          </w:tcPr>
          <w:p>
            <w:pPr>
              <w:jc w:val="center"/>
              <w:rPr>
                <w:sz w:val="2"/>
                <w:szCs w:val="2"/>
              </w:rPr>
            </w:pPr>
          </w:p>
        </w:tc>
        <w:tc>
          <w:tcPr>
            <w:tcW w:w="2067" w:type="dxa"/>
            <w:vAlign w:val="center"/>
          </w:tcPr>
          <w:p>
            <w:pPr>
              <w:pStyle w:val="105"/>
              <w:ind w:left="213"/>
              <w:jc w:val="center"/>
            </w:pPr>
            <w:r>
              <w:t>监理机构设置（</w:t>
            </w:r>
            <w:r>
              <w:rPr>
                <w:rFonts w:hint="eastAsia"/>
              </w:rPr>
              <w:t>2</w:t>
            </w:r>
            <w:r>
              <w:t>分）</w:t>
            </w:r>
          </w:p>
        </w:tc>
        <w:tc>
          <w:tcPr>
            <w:tcW w:w="6330" w:type="dxa"/>
            <w:vAlign w:val="center"/>
          </w:tcPr>
          <w:p>
            <w:pPr>
              <w:pStyle w:val="105"/>
              <w:spacing w:before="47" w:line="288" w:lineRule="auto"/>
              <w:ind w:left="108" w:right="93"/>
              <w:jc w:val="left"/>
              <w:rPr>
                <w:rFonts w:ascii="宋体" w:hAnsi="宋体" w:cs="宋体"/>
                <w:color w:val="000000"/>
                <w:kern w:val="0"/>
                <w:szCs w:val="21"/>
              </w:rPr>
            </w:pPr>
            <w:r>
              <w:rPr>
                <w:rFonts w:hint="eastAsia" w:ascii="宋体" w:hAnsi="宋体" w:cs="宋体"/>
                <w:color w:val="000000"/>
                <w:kern w:val="0"/>
                <w:szCs w:val="21"/>
              </w:rPr>
              <w:t>监理机构的组织形式、管理跨度符合实际、具体可行的得 2 分，其他酌情赋分，但最低不低于1.2分。无相应内容得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983" w:type="dxa"/>
            <w:vMerge w:val="continue"/>
            <w:vAlign w:val="center"/>
          </w:tcPr>
          <w:p>
            <w:pPr>
              <w:jc w:val="center"/>
              <w:rPr>
                <w:sz w:val="2"/>
                <w:szCs w:val="2"/>
              </w:rPr>
            </w:pPr>
          </w:p>
        </w:tc>
        <w:tc>
          <w:tcPr>
            <w:tcW w:w="2067" w:type="dxa"/>
            <w:vAlign w:val="center"/>
          </w:tcPr>
          <w:p>
            <w:pPr>
              <w:pStyle w:val="105"/>
              <w:ind w:left="213"/>
              <w:jc w:val="center"/>
            </w:pPr>
            <w:r>
              <w:rPr>
                <w:rFonts w:hint="eastAsia"/>
              </w:rPr>
              <w:t>其他监理人员资历、业绩及进场计划（6 分）</w:t>
            </w:r>
          </w:p>
        </w:tc>
        <w:tc>
          <w:tcPr>
            <w:tcW w:w="6330" w:type="dxa"/>
            <w:vAlign w:val="center"/>
          </w:tcPr>
          <w:p>
            <w:pPr>
              <w:pStyle w:val="105"/>
              <w:spacing w:before="47" w:line="288" w:lineRule="auto"/>
              <w:ind w:left="108" w:right="93"/>
              <w:jc w:val="left"/>
              <w:rPr>
                <w:rFonts w:ascii="宋体" w:hAnsi="宋体" w:cs="宋体"/>
                <w:color w:val="000000"/>
                <w:kern w:val="0"/>
                <w:szCs w:val="21"/>
              </w:rPr>
            </w:pPr>
            <w:r>
              <w:rPr>
                <w:rFonts w:hint="eastAsia" w:ascii="宋体" w:hAnsi="宋体" w:cs="宋体"/>
                <w:color w:val="000000"/>
                <w:kern w:val="0"/>
                <w:szCs w:val="21"/>
              </w:rPr>
              <w:t>从监理人员数量、专业、学历、职称结构、个人经验业绩和进场计划等方面进行综合评价，酌情赋分，最高得 6 分，最低不低于 3.6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83" w:type="dxa"/>
            <w:vMerge w:val="continue"/>
            <w:vAlign w:val="center"/>
          </w:tcPr>
          <w:p>
            <w:pPr>
              <w:jc w:val="center"/>
              <w:rPr>
                <w:sz w:val="2"/>
                <w:szCs w:val="2"/>
              </w:rPr>
            </w:pPr>
          </w:p>
        </w:tc>
        <w:tc>
          <w:tcPr>
            <w:tcW w:w="2067" w:type="dxa"/>
            <w:vAlign w:val="center"/>
          </w:tcPr>
          <w:p>
            <w:pPr>
              <w:pStyle w:val="105"/>
              <w:ind w:left="107" w:right="-15"/>
              <w:jc w:val="center"/>
            </w:pPr>
            <w:r>
              <w:rPr>
                <w:spacing w:val="-16"/>
              </w:rPr>
              <w:t>拟投入的监理设备</w:t>
            </w:r>
            <w:r>
              <w:t>（</w:t>
            </w:r>
            <w:r>
              <w:rPr>
                <w:rFonts w:hint="eastAsia"/>
              </w:rPr>
              <w:t>3</w:t>
            </w:r>
            <w:r>
              <w:rPr>
                <w:spacing w:val="-25"/>
              </w:rPr>
              <w:t>分</w:t>
            </w:r>
            <w:r>
              <w:rPr>
                <w:spacing w:val="-108"/>
              </w:rPr>
              <w:t>）</w:t>
            </w:r>
          </w:p>
        </w:tc>
        <w:tc>
          <w:tcPr>
            <w:tcW w:w="6330" w:type="dxa"/>
            <w:vAlign w:val="center"/>
          </w:tcPr>
          <w:p>
            <w:pPr>
              <w:pStyle w:val="105"/>
              <w:spacing w:before="45"/>
              <w:ind w:left="108"/>
              <w:jc w:val="left"/>
              <w:rPr>
                <w:rFonts w:ascii="宋体" w:hAnsi="宋体" w:cs="宋体"/>
                <w:color w:val="000000"/>
                <w:kern w:val="0"/>
                <w:szCs w:val="21"/>
              </w:rPr>
            </w:pPr>
            <w:r>
              <w:rPr>
                <w:rFonts w:hint="eastAsia" w:ascii="宋体" w:hAnsi="宋体" w:cs="宋体"/>
                <w:color w:val="000000"/>
                <w:kern w:val="0"/>
                <w:szCs w:val="21"/>
              </w:rPr>
              <w:t>配备合理、完全满足监理工作需要得 3 分，其他酌情赋分，但最低不低于1.8分。无相应内容得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83" w:type="dxa"/>
            <w:vMerge w:val="continue"/>
            <w:vAlign w:val="center"/>
          </w:tcPr>
          <w:p>
            <w:pPr>
              <w:jc w:val="center"/>
              <w:rPr>
                <w:sz w:val="2"/>
                <w:szCs w:val="2"/>
              </w:rPr>
            </w:pPr>
          </w:p>
        </w:tc>
        <w:tc>
          <w:tcPr>
            <w:tcW w:w="2067" w:type="dxa"/>
            <w:vAlign w:val="center"/>
          </w:tcPr>
          <w:p>
            <w:pPr>
              <w:pStyle w:val="105"/>
              <w:spacing w:before="46"/>
              <w:ind w:left="187"/>
              <w:jc w:val="center"/>
            </w:pPr>
            <w:r>
              <w:t>随时可调用的后备资源（</w:t>
            </w:r>
            <w:r>
              <w:rPr>
                <w:rFonts w:hint="eastAsia"/>
              </w:rPr>
              <w:t>3</w:t>
            </w:r>
            <w:r>
              <w:t>分）</w:t>
            </w:r>
          </w:p>
        </w:tc>
        <w:tc>
          <w:tcPr>
            <w:tcW w:w="6330" w:type="dxa"/>
            <w:vAlign w:val="center"/>
          </w:tcPr>
          <w:p>
            <w:pPr>
              <w:pStyle w:val="105"/>
              <w:spacing w:before="46"/>
              <w:ind w:left="108" w:right="-15"/>
              <w:jc w:val="left"/>
              <w:rPr>
                <w:rFonts w:ascii="宋体" w:hAnsi="宋体" w:cs="宋体"/>
                <w:color w:val="000000"/>
                <w:kern w:val="0"/>
                <w:szCs w:val="21"/>
              </w:rPr>
            </w:pPr>
            <w:r>
              <w:rPr>
                <w:rFonts w:hint="eastAsia" w:ascii="宋体" w:hAnsi="宋体" w:cs="宋体"/>
                <w:color w:val="000000"/>
                <w:kern w:val="0"/>
                <w:szCs w:val="21"/>
              </w:rPr>
              <w:t>可调用的后备资源充足的得 3 分，其他酌情赋分，但最低不低于1.8分。无相应内容得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983" w:type="dxa"/>
            <w:vAlign w:val="center"/>
          </w:tcPr>
          <w:p>
            <w:pPr>
              <w:widowControl/>
              <w:jc w:val="center"/>
            </w:pPr>
            <w:r>
              <w:rPr>
                <w:rFonts w:hint="eastAsia" w:ascii="宋体" w:hAnsi="宋体" w:cs="宋体"/>
                <w:color w:val="000000"/>
                <w:kern w:val="0"/>
                <w:szCs w:val="21"/>
              </w:rPr>
              <w:t>投标报价</w:t>
            </w:r>
          </w:p>
          <w:p>
            <w:pPr>
              <w:widowControl/>
              <w:jc w:val="center"/>
              <w:rPr>
                <w:sz w:val="2"/>
                <w:szCs w:val="2"/>
              </w:rPr>
            </w:pPr>
            <w:r>
              <w:rPr>
                <w:rFonts w:hint="eastAsia" w:ascii="宋体" w:hAnsi="宋体" w:cs="宋体"/>
                <w:color w:val="000000"/>
                <w:kern w:val="0"/>
                <w:szCs w:val="21"/>
              </w:rPr>
              <w:t>评分标准（25 分）</w:t>
            </w:r>
          </w:p>
        </w:tc>
        <w:tc>
          <w:tcPr>
            <w:tcW w:w="2067" w:type="dxa"/>
            <w:vAlign w:val="center"/>
          </w:tcPr>
          <w:p>
            <w:pPr>
              <w:widowControl/>
              <w:jc w:val="center"/>
            </w:pPr>
            <w:r>
              <w:rPr>
                <w:rFonts w:hint="eastAsia" w:ascii="宋体" w:hAnsi="宋体" w:cs="宋体"/>
                <w:color w:val="000000"/>
                <w:kern w:val="0"/>
                <w:szCs w:val="21"/>
              </w:rPr>
              <w:t>总报价（25 分）</w:t>
            </w:r>
          </w:p>
        </w:tc>
        <w:tc>
          <w:tcPr>
            <w:tcW w:w="633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高于明标价其投标文件将被否决，等于明标价得满分，低于明标价得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3050" w:type="dxa"/>
            <w:gridSpan w:val="2"/>
            <w:vAlign w:val="center"/>
          </w:tcPr>
          <w:p>
            <w:pPr>
              <w:widowControl/>
              <w:jc w:val="center"/>
            </w:pPr>
            <w:r>
              <w:rPr>
                <w:rFonts w:hint="eastAsia" w:ascii="宋体" w:hAnsi="宋体" w:cs="宋体"/>
                <w:color w:val="000000"/>
                <w:kern w:val="0"/>
                <w:szCs w:val="21"/>
              </w:rPr>
              <w:t>投标人最终得分</w:t>
            </w:r>
          </w:p>
        </w:tc>
        <w:tc>
          <w:tcPr>
            <w:tcW w:w="6330" w:type="dxa"/>
            <w:vAlign w:val="center"/>
          </w:tcPr>
          <w:p>
            <w:pPr>
              <w:widowControl/>
              <w:jc w:val="left"/>
            </w:pPr>
            <w:r>
              <w:rPr>
                <w:rFonts w:hint="eastAsia" w:ascii="宋体" w:hAnsi="宋体" w:cs="宋体"/>
                <w:color w:val="000000"/>
                <w:kern w:val="0"/>
                <w:szCs w:val="21"/>
              </w:rPr>
              <w:t>取所有评委的平均分。</w:t>
            </w:r>
          </w:p>
        </w:tc>
      </w:tr>
    </w:tbl>
    <w:p>
      <w:pPr>
        <w:pStyle w:val="15"/>
        <w:rPr>
          <w:rFonts w:ascii="宋体" w:hAnsi="宋体" w:cs="宋体"/>
          <w:sz w:val="24"/>
          <w:szCs w:val="24"/>
        </w:rPr>
      </w:pPr>
    </w:p>
    <w:p>
      <w:pPr>
        <w:spacing w:line="520" w:lineRule="exact"/>
        <w:ind w:firstLine="480" w:firstLineChars="200"/>
        <w:rPr>
          <w:rFonts w:ascii="宋体" w:hAnsi="宋体" w:cs="宋体"/>
          <w:sz w:val="24"/>
          <w:szCs w:val="24"/>
        </w:rPr>
      </w:pPr>
      <w:bookmarkStart w:id="200" w:name="_Toc5553"/>
      <w:bookmarkStart w:id="201" w:name="_Toc14458"/>
      <w:r>
        <w:rPr>
          <w:rFonts w:hint="eastAsia" w:ascii="宋体" w:hAnsi="宋体" w:cs="宋体"/>
          <w:sz w:val="24"/>
          <w:szCs w:val="24"/>
        </w:rPr>
        <w:t>2、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pPr>
        <w:pStyle w:val="14"/>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3、得分汇总</w:t>
      </w:r>
    </w:p>
    <w:p>
      <w:pPr>
        <w:pStyle w:val="14"/>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（1）将每个有效磋商供应商的技术标分之和加上根据上述标准计算出的价格分，即为该磋商供应商的综合总得分。</w:t>
      </w:r>
    </w:p>
    <w:p>
      <w:pPr>
        <w:spacing w:line="520" w:lineRule="exact"/>
        <w:ind w:firstLine="480" w:firstLineChars="200"/>
        <w:rPr>
          <w:rFonts w:ascii="宋体" w:hAnsi="宋体" w:cs="宋体"/>
          <w:sz w:val="28"/>
          <w:szCs w:val="28"/>
        </w:rPr>
      </w:pPr>
      <w:r>
        <w:rPr>
          <w:rFonts w:hint="eastAsia" w:ascii="宋体" w:hAnsi="宋体" w:cs="宋体"/>
          <w:sz w:val="24"/>
          <w:szCs w:val="24"/>
        </w:rPr>
        <w:t>（2）按照有效磋商供应商综合总得分由高到低依次排出成交供应商及成交候选供应商。最终得分相等时，现场抽签确定中标候选人顺序。</w:t>
      </w:r>
    </w:p>
    <w:p>
      <w:pPr>
        <w:pStyle w:val="4"/>
        <w:spacing w:beforeLines="50" w:afterLines="50" w:line="560" w:lineRule="exact"/>
        <w:rPr>
          <w:rFonts w:ascii="宋体" w:hAnsi="宋体" w:eastAsia="宋体" w:cs="宋体"/>
          <w:sz w:val="28"/>
          <w:szCs w:val="28"/>
        </w:rPr>
      </w:pPr>
      <w:r>
        <w:rPr>
          <w:rFonts w:hint="eastAsia" w:ascii="宋体" w:hAnsi="宋体" w:eastAsia="宋体" w:cs="宋体"/>
          <w:sz w:val="28"/>
          <w:szCs w:val="28"/>
        </w:rPr>
        <w:br w:type="page"/>
      </w:r>
      <w:bookmarkStart w:id="202" w:name="_Toc8088"/>
      <w:r>
        <w:rPr>
          <w:rFonts w:hint="eastAsia" w:ascii="宋体" w:hAnsi="宋体" w:eastAsia="宋体" w:cs="宋体"/>
          <w:sz w:val="28"/>
          <w:szCs w:val="28"/>
        </w:rPr>
        <w:t>五、响应文件格式</w:t>
      </w:r>
      <w:bookmarkEnd w:id="200"/>
      <w:bookmarkEnd w:id="201"/>
      <w:bookmarkEnd w:id="202"/>
    </w:p>
    <w:p>
      <w:pPr>
        <w:spacing w:line="500" w:lineRule="exact"/>
        <w:jc w:val="center"/>
        <w:rPr>
          <w:rFonts w:ascii="宋体" w:hAnsi="宋体" w:cs="宋体"/>
          <w:b/>
          <w:sz w:val="32"/>
        </w:rPr>
      </w:pPr>
    </w:p>
    <w:p>
      <w:pPr>
        <w:spacing w:line="500" w:lineRule="exact"/>
        <w:jc w:val="center"/>
        <w:outlineLvl w:val="0"/>
        <w:rPr>
          <w:rFonts w:ascii="宋体" w:hAnsi="宋体" w:cs="宋体"/>
          <w:b/>
          <w:sz w:val="32"/>
        </w:rPr>
      </w:pPr>
      <w:r>
        <w:rPr>
          <w:rFonts w:hint="eastAsia" w:ascii="宋体" w:hAnsi="宋体" w:cs="宋体"/>
          <w:b/>
          <w:sz w:val="32"/>
          <w:u w:val="single"/>
        </w:rPr>
        <w:t>　　　　　　　　　</w:t>
      </w:r>
      <w:bookmarkStart w:id="203" w:name="_Toc22685"/>
      <w:bookmarkStart w:id="204" w:name="_Toc4448"/>
      <w:r>
        <w:rPr>
          <w:rFonts w:hint="eastAsia" w:ascii="宋体" w:hAnsi="宋体" w:cs="宋体"/>
          <w:b/>
          <w:sz w:val="32"/>
        </w:rPr>
        <w:t>项目</w:t>
      </w:r>
      <w:bookmarkEnd w:id="203"/>
      <w:bookmarkEnd w:id="204"/>
    </w:p>
    <w:p>
      <w:pPr>
        <w:spacing w:line="900" w:lineRule="exact"/>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响</w:t>
      </w:r>
    </w:p>
    <w:p>
      <w:pPr>
        <w:spacing w:line="900" w:lineRule="exact"/>
        <w:jc w:val="center"/>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应</w:t>
      </w:r>
    </w:p>
    <w:p>
      <w:pPr>
        <w:spacing w:line="900" w:lineRule="exact"/>
        <w:jc w:val="center"/>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文</w:t>
      </w:r>
    </w:p>
    <w:p>
      <w:pPr>
        <w:spacing w:line="900" w:lineRule="exact"/>
        <w:jc w:val="center"/>
        <w:rPr>
          <w:rFonts w:ascii="宋体" w:hAnsi="宋体" w:cs="宋体"/>
          <w:b/>
          <w:sz w:val="72"/>
        </w:rPr>
      </w:pPr>
    </w:p>
    <w:p>
      <w:pPr>
        <w:jc w:val="center"/>
        <w:rPr>
          <w:rFonts w:ascii="宋体" w:hAnsi="宋体" w:cs="宋体"/>
          <w:b/>
          <w:sz w:val="72"/>
        </w:rPr>
      </w:pPr>
      <w:r>
        <w:rPr>
          <w:rFonts w:hint="eastAsia" w:ascii="宋体" w:hAnsi="宋体" w:cs="宋体"/>
          <w:b/>
          <w:sz w:val="72"/>
        </w:rPr>
        <w:t>件</w:t>
      </w:r>
    </w:p>
    <w:p>
      <w:pPr>
        <w:spacing w:afterLines="50"/>
        <w:jc w:val="center"/>
        <w:rPr>
          <w:rFonts w:ascii="宋体" w:hAnsi="宋体" w:cs="宋体"/>
          <w:b/>
          <w:sz w:val="72"/>
        </w:rPr>
      </w:pPr>
    </w:p>
    <w:p>
      <w:pPr>
        <w:spacing w:afterLines="50" w:line="500" w:lineRule="exact"/>
        <w:jc w:val="center"/>
        <w:rPr>
          <w:rFonts w:ascii="宋体" w:hAnsi="宋体" w:cs="宋体"/>
          <w:b/>
          <w:sz w:val="30"/>
          <w:szCs w:val="30"/>
        </w:rPr>
      </w:pPr>
      <w:r>
        <w:rPr>
          <w:rFonts w:hint="eastAsia" w:ascii="宋体" w:hAnsi="宋体" w:cs="宋体"/>
          <w:b/>
          <w:sz w:val="30"/>
          <w:szCs w:val="30"/>
        </w:rPr>
        <w:t>第</w:t>
      </w:r>
      <w:r>
        <w:rPr>
          <w:rFonts w:hint="eastAsia" w:ascii="宋体" w:hAnsi="宋体" w:cs="宋体"/>
          <w:b/>
          <w:sz w:val="30"/>
          <w:szCs w:val="30"/>
          <w:lang w:val="en-US" w:eastAsia="zh-CN"/>
        </w:rPr>
        <w:t xml:space="preserve"> </w:t>
      </w:r>
      <w:r>
        <w:rPr>
          <w:rFonts w:hint="eastAsia" w:ascii="宋体" w:hAnsi="宋体" w:cs="宋体"/>
          <w:b/>
          <w:sz w:val="30"/>
          <w:szCs w:val="30"/>
        </w:rPr>
        <w:t>包</w:t>
      </w:r>
    </w:p>
    <w:p>
      <w:pPr>
        <w:spacing w:afterLines="50" w:line="500" w:lineRule="exact"/>
        <w:jc w:val="center"/>
        <w:rPr>
          <w:rFonts w:ascii="宋体" w:hAnsi="宋体" w:cs="宋体"/>
          <w:b/>
          <w:sz w:val="72"/>
        </w:rPr>
      </w:pPr>
    </w:p>
    <w:p>
      <w:pPr>
        <w:spacing w:afterLines="50" w:line="500" w:lineRule="exact"/>
        <w:ind w:firstLine="2088" w:firstLineChars="650"/>
        <w:rPr>
          <w:rFonts w:ascii="宋体" w:hAnsi="宋体" w:cs="宋体"/>
          <w:b/>
          <w:sz w:val="32"/>
          <w:u w:val="single"/>
        </w:rPr>
      </w:pPr>
      <w:r>
        <w:rPr>
          <w:rFonts w:hint="eastAsia" w:ascii="宋体" w:hAnsi="宋体" w:cs="宋体"/>
          <w:b/>
          <w:sz w:val="32"/>
        </w:rPr>
        <w:t>供应商：</w:t>
      </w:r>
    </w:p>
    <w:p>
      <w:pPr>
        <w:spacing w:afterLines="50" w:line="500" w:lineRule="exact"/>
        <w:ind w:firstLine="2088" w:firstLineChars="650"/>
        <w:outlineLvl w:val="0"/>
        <w:rPr>
          <w:rFonts w:ascii="宋体" w:hAnsi="宋体" w:cs="宋体"/>
          <w:sz w:val="24"/>
          <w:szCs w:val="28"/>
        </w:rPr>
      </w:pPr>
      <w:bookmarkStart w:id="205" w:name="_Toc4670"/>
      <w:bookmarkStart w:id="206" w:name="_Toc5792"/>
      <w:r>
        <w:rPr>
          <w:rFonts w:hint="eastAsia" w:ascii="宋体" w:hAnsi="宋体" w:cs="宋体"/>
          <w:b/>
          <w:sz w:val="32"/>
        </w:rPr>
        <w:t>年  月  日</w:t>
      </w:r>
      <w:bookmarkEnd w:id="205"/>
      <w:bookmarkEnd w:id="206"/>
    </w:p>
    <w:p>
      <w:pPr>
        <w:pStyle w:val="4"/>
        <w:spacing w:beforeLines="50" w:afterLines="50" w:line="560" w:lineRule="exact"/>
        <w:jc w:val="center"/>
        <w:rPr>
          <w:rFonts w:ascii="宋体" w:hAnsi="宋体" w:eastAsia="宋体" w:cs="宋体"/>
          <w:sz w:val="24"/>
          <w:szCs w:val="24"/>
        </w:rPr>
      </w:pPr>
      <w:bookmarkStart w:id="207" w:name="_Toc20663"/>
      <w:r>
        <w:rPr>
          <w:rFonts w:hint="eastAsia" w:ascii="宋体" w:hAnsi="宋体" w:eastAsia="宋体" w:cs="宋体"/>
          <w:sz w:val="24"/>
          <w:szCs w:val="24"/>
        </w:rPr>
        <w:br w:type="page"/>
      </w:r>
      <w:bookmarkStart w:id="208" w:name="_Toc2602"/>
      <w:r>
        <w:rPr>
          <w:rFonts w:hint="eastAsia" w:ascii="宋体" w:hAnsi="宋体" w:eastAsia="宋体" w:cs="宋体"/>
          <w:sz w:val="24"/>
          <w:szCs w:val="24"/>
        </w:rPr>
        <w:t>响应文件资料清单</w:t>
      </w:r>
      <w:bookmarkEnd w:id="207"/>
      <w:bookmarkEnd w:id="208"/>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b/>
                <w:sz w:val="24"/>
              </w:rPr>
            </w:pPr>
            <w:r>
              <w:rPr>
                <w:rFonts w:hint="eastAsia" w:ascii="宋体" w:hAnsi="宋体" w:cs="宋体"/>
                <w:b/>
                <w:sz w:val="24"/>
              </w:rPr>
              <w:t>序号</w:t>
            </w:r>
          </w:p>
        </w:tc>
        <w:tc>
          <w:tcPr>
            <w:tcW w:w="6038" w:type="dxa"/>
            <w:vAlign w:val="center"/>
          </w:tcPr>
          <w:p>
            <w:pPr>
              <w:spacing w:line="440" w:lineRule="exact"/>
              <w:jc w:val="center"/>
              <w:rPr>
                <w:rFonts w:ascii="宋体" w:hAnsi="宋体" w:cs="宋体"/>
                <w:b/>
                <w:sz w:val="24"/>
              </w:rPr>
            </w:pPr>
            <w:r>
              <w:rPr>
                <w:rFonts w:hint="eastAsia" w:ascii="宋体" w:hAnsi="宋体" w:cs="宋体"/>
                <w:b/>
                <w:sz w:val="24"/>
              </w:rPr>
              <w:t>资料名称</w:t>
            </w:r>
          </w:p>
        </w:tc>
        <w:tc>
          <w:tcPr>
            <w:tcW w:w="1695" w:type="dxa"/>
            <w:vAlign w:val="center"/>
          </w:tcPr>
          <w:p>
            <w:pPr>
              <w:spacing w:line="440" w:lineRule="exact"/>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一</w:t>
            </w:r>
          </w:p>
        </w:tc>
        <w:tc>
          <w:tcPr>
            <w:tcW w:w="6038" w:type="dxa"/>
            <w:vAlign w:val="center"/>
          </w:tcPr>
          <w:p>
            <w:pPr>
              <w:spacing w:line="440" w:lineRule="exact"/>
              <w:rPr>
                <w:rFonts w:ascii="宋体" w:hAnsi="宋体" w:cs="宋体"/>
                <w:sz w:val="24"/>
              </w:rPr>
            </w:pPr>
            <w:r>
              <w:rPr>
                <w:rFonts w:hint="eastAsia" w:ascii="宋体" w:hAnsi="宋体" w:cs="宋体"/>
                <w:sz w:val="24"/>
                <w:szCs w:val="24"/>
              </w:rPr>
              <w:t>报价单</w:t>
            </w:r>
          </w:p>
        </w:tc>
        <w:tc>
          <w:tcPr>
            <w:tcW w:w="1695"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二</w:t>
            </w:r>
          </w:p>
        </w:tc>
        <w:tc>
          <w:tcPr>
            <w:tcW w:w="6038" w:type="dxa"/>
            <w:vAlign w:val="center"/>
          </w:tcPr>
          <w:p>
            <w:pPr>
              <w:spacing w:line="440" w:lineRule="exact"/>
              <w:rPr>
                <w:rFonts w:ascii="宋体" w:hAnsi="宋体" w:cs="宋体"/>
              </w:rPr>
            </w:pPr>
            <w:r>
              <w:rPr>
                <w:rFonts w:hint="eastAsia" w:ascii="宋体" w:hAnsi="宋体" w:cs="宋体"/>
                <w:sz w:val="24"/>
              </w:rPr>
              <w:t>供应商基本信息</w:t>
            </w:r>
          </w:p>
        </w:tc>
        <w:tc>
          <w:tcPr>
            <w:tcW w:w="1695"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三</w:t>
            </w:r>
          </w:p>
        </w:tc>
        <w:tc>
          <w:tcPr>
            <w:tcW w:w="6038" w:type="dxa"/>
            <w:vAlign w:val="center"/>
          </w:tcPr>
          <w:p>
            <w:pPr>
              <w:pStyle w:val="71"/>
              <w:spacing w:line="440" w:lineRule="exact"/>
              <w:rPr>
                <w:rFonts w:ascii="宋体" w:hAnsi="宋体" w:cs="宋体"/>
              </w:rPr>
            </w:pPr>
            <w:r>
              <w:rPr>
                <w:rFonts w:hint="eastAsia" w:ascii="宋体" w:hAnsi="宋体" w:cs="宋体"/>
                <w:szCs w:val="24"/>
              </w:rPr>
              <w:t>磋商授权书</w:t>
            </w:r>
          </w:p>
        </w:tc>
        <w:tc>
          <w:tcPr>
            <w:tcW w:w="1695"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四</w:t>
            </w:r>
          </w:p>
        </w:tc>
        <w:tc>
          <w:tcPr>
            <w:tcW w:w="6038" w:type="dxa"/>
            <w:vAlign w:val="center"/>
          </w:tcPr>
          <w:p>
            <w:pPr>
              <w:pStyle w:val="71"/>
              <w:spacing w:line="440" w:lineRule="exact"/>
              <w:rPr>
                <w:rFonts w:ascii="宋体" w:hAnsi="宋体" w:cs="宋体"/>
              </w:rPr>
            </w:pPr>
            <w:r>
              <w:rPr>
                <w:rFonts w:hint="eastAsia" w:ascii="宋体" w:hAnsi="宋体" w:cs="宋体"/>
                <w:szCs w:val="24"/>
              </w:rPr>
              <w:t>磋商响应函</w:t>
            </w:r>
          </w:p>
        </w:tc>
        <w:tc>
          <w:tcPr>
            <w:tcW w:w="1695"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五</w:t>
            </w:r>
          </w:p>
        </w:tc>
        <w:tc>
          <w:tcPr>
            <w:tcW w:w="6038" w:type="dxa"/>
            <w:vAlign w:val="center"/>
          </w:tcPr>
          <w:p>
            <w:pPr>
              <w:spacing w:line="440" w:lineRule="exact"/>
              <w:rPr>
                <w:rFonts w:ascii="宋体" w:hAnsi="宋体" w:cs="宋体"/>
                <w:sz w:val="24"/>
              </w:rPr>
            </w:pPr>
            <w:r>
              <w:rPr>
                <w:rFonts w:hint="eastAsia" w:ascii="宋体" w:hAnsi="宋体" w:cs="宋体"/>
                <w:sz w:val="24"/>
                <w:szCs w:val="24"/>
              </w:rPr>
              <w:t>无重大违法记录声明函、无不良信用记录承诺函</w:t>
            </w:r>
          </w:p>
        </w:tc>
        <w:tc>
          <w:tcPr>
            <w:tcW w:w="1695"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六</w:t>
            </w:r>
          </w:p>
        </w:tc>
        <w:tc>
          <w:tcPr>
            <w:tcW w:w="6038" w:type="dxa"/>
            <w:vAlign w:val="center"/>
          </w:tcPr>
          <w:p>
            <w:pPr>
              <w:spacing w:line="440" w:lineRule="exact"/>
              <w:rPr>
                <w:rFonts w:ascii="宋体" w:hAnsi="宋体" w:cs="宋体"/>
                <w:sz w:val="24"/>
              </w:rPr>
            </w:pPr>
            <w:r>
              <w:rPr>
                <w:rFonts w:hint="eastAsia" w:ascii="宋体" w:hAnsi="宋体" w:cs="宋体"/>
                <w:sz w:val="24"/>
                <w:szCs w:val="24"/>
              </w:rPr>
              <w:t>响应情况表</w:t>
            </w: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七</w:t>
            </w:r>
          </w:p>
        </w:tc>
        <w:tc>
          <w:tcPr>
            <w:tcW w:w="6038" w:type="dxa"/>
            <w:vAlign w:val="center"/>
          </w:tcPr>
          <w:p>
            <w:pPr>
              <w:spacing w:line="440" w:lineRule="exact"/>
              <w:rPr>
                <w:rFonts w:ascii="宋体" w:hAnsi="宋体" w:cs="宋体"/>
                <w:sz w:val="24"/>
              </w:rPr>
            </w:pPr>
            <w:r>
              <w:rPr>
                <w:rFonts w:hint="eastAsia" w:ascii="宋体" w:hAnsi="宋体"/>
                <w:sz w:val="24"/>
                <w:szCs w:val="24"/>
              </w:rPr>
              <w:t>技术标材料</w:t>
            </w: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八</w:t>
            </w:r>
          </w:p>
        </w:tc>
        <w:tc>
          <w:tcPr>
            <w:tcW w:w="6038" w:type="dxa"/>
            <w:vAlign w:val="center"/>
          </w:tcPr>
          <w:p>
            <w:pPr>
              <w:spacing w:line="440" w:lineRule="exact"/>
              <w:rPr>
                <w:rFonts w:ascii="宋体" w:hAnsi="宋体" w:cs="宋体"/>
                <w:sz w:val="24"/>
              </w:rPr>
            </w:pPr>
            <w:r>
              <w:rPr>
                <w:rFonts w:hint="eastAsia" w:ascii="宋体" w:hAnsi="宋体" w:cs="宋体"/>
                <w:sz w:val="24"/>
                <w:szCs w:val="24"/>
              </w:rPr>
              <w:t>相关服务承诺函</w:t>
            </w: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九</w:t>
            </w:r>
          </w:p>
        </w:tc>
        <w:tc>
          <w:tcPr>
            <w:tcW w:w="6038" w:type="dxa"/>
            <w:vAlign w:val="center"/>
          </w:tcPr>
          <w:p>
            <w:pPr>
              <w:spacing w:line="440" w:lineRule="exact"/>
              <w:rPr>
                <w:rFonts w:ascii="宋体" w:hAnsi="宋体" w:cs="宋体"/>
                <w:sz w:val="24"/>
              </w:rPr>
            </w:pPr>
            <w:r>
              <w:rPr>
                <w:rFonts w:hint="eastAsia" w:ascii="宋体" w:hAnsi="宋体" w:cs="宋体"/>
                <w:sz w:val="24"/>
                <w:szCs w:val="24"/>
              </w:rPr>
              <w:t>磋商文件要求和供应商认为需要提供的其它说明和资料</w:t>
            </w: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w:t>
            </w:r>
          </w:p>
        </w:tc>
        <w:tc>
          <w:tcPr>
            <w:tcW w:w="6038" w:type="dxa"/>
            <w:vAlign w:val="center"/>
          </w:tcPr>
          <w:p>
            <w:pPr>
              <w:spacing w:line="440" w:lineRule="exact"/>
              <w:rPr>
                <w:rFonts w:ascii="宋体" w:hAnsi="宋体" w:cs="宋体"/>
                <w:sz w:val="24"/>
              </w:rPr>
            </w:pP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695" w:type="dxa"/>
            <w:vAlign w:val="center"/>
          </w:tcPr>
          <w:p>
            <w:pPr>
              <w:spacing w:line="440" w:lineRule="exact"/>
              <w:rPr>
                <w:rFonts w:ascii="宋体" w:hAnsi="宋体" w:cs="宋体"/>
                <w:b/>
                <w:sz w:val="24"/>
              </w:rPr>
            </w:pPr>
          </w:p>
        </w:tc>
      </w:tr>
    </w:tbl>
    <w:p>
      <w:pPr>
        <w:spacing w:line="360" w:lineRule="auto"/>
        <w:jc w:val="center"/>
        <w:rPr>
          <w:rFonts w:ascii="宋体" w:hAnsi="宋体" w:cs="宋体"/>
          <w:b/>
          <w:sz w:val="24"/>
        </w:rPr>
      </w:pPr>
    </w:p>
    <w:p>
      <w:pPr>
        <w:spacing w:line="360" w:lineRule="auto"/>
        <w:jc w:val="center"/>
        <w:rPr>
          <w:rFonts w:ascii="宋体" w:hAnsi="宋体" w:cs="宋体"/>
          <w:b/>
          <w:sz w:val="24"/>
        </w:rPr>
      </w:pPr>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bookmarkStart w:id="209" w:name="_Toc10603"/>
      <w:bookmarkStart w:id="210" w:name="_Toc8158"/>
      <w:bookmarkStart w:id="211" w:name="_Toc21309"/>
      <w:r>
        <w:rPr>
          <w:rFonts w:hint="eastAsia" w:ascii="宋体" w:hAnsi="宋体" w:eastAsia="宋体" w:cs="宋体"/>
          <w:sz w:val="24"/>
          <w:szCs w:val="24"/>
        </w:rPr>
        <w:t>附件一</w:t>
      </w:r>
      <w:bookmarkEnd w:id="209"/>
      <w:bookmarkEnd w:id="210"/>
      <w:bookmarkEnd w:id="211"/>
    </w:p>
    <w:p>
      <w:pPr>
        <w:pStyle w:val="4"/>
        <w:spacing w:before="0" w:after="0" w:line="560" w:lineRule="exact"/>
        <w:ind w:firstLine="482" w:firstLineChars="200"/>
        <w:jc w:val="center"/>
        <w:rPr>
          <w:rFonts w:ascii="宋体" w:hAnsi="宋体" w:eastAsia="宋体" w:cs="宋体"/>
          <w:sz w:val="24"/>
          <w:szCs w:val="24"/>
        </w:rPr>
      </w:pPr>
      <w:bookmarkStart w:id="212" w:name="_Toc10816"/>
      <w:bookmarkStart w:id="213" w:name="_Toc5601"/>
      <w:r>
        <w:rPr>
          <w:rFonts w:hint="eastAsia" w:ascii="宋体" w:hAnsi="宋体" w:eastAsia="宋体" w:cs="宋体"/>
          <w:sz w:val="24"/>
          <w:szCs w:val="24"/>
        </w:rPr>
        <w:t>报价单</w:t>
      </w:r>
      <w:bookmarkEnd w:id="212"/>
      <w:bookmarkEnd w:id="213"/>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hAnsi="宋体" w:cs="宋体"/>
                <w:sz w:val="24"/>
                <w:szCs w:val="24"/>
                <w:shd w:val="clear" w:color="auto" w:fill="FFFFFF"/>
              </w:rPr>
              <w:t>批复中监理费用的</w:t>
            </w:r>
            <w:r>
              <w:rPr>
                <w:rFonts w:hint="eastAsia" w:ascii="宋体" w:hAnsi="宋体" w:cs="宋体"/>
                <w:bCs/>
                <w:sz w:val="24"/>
              </w:rPr>
              <w:t>________</w:t>
            </w:r>
            <w:r>
              <w:rPr>
                <w:rFonts w:hint="eastAsia" w:ascii="宋体" w:hAnsi="宋体" w:cs="宋体"/>
                <w:sz w:val="24"/>
                <w:szCs w:val="24"/>
              </w:rPr>
              <w:t xml:space="preserve"> （四舍五入保留至小数点后两位） </w:t>
            </w:r>
          </w:p>
          <w:p>
            <w:pPr>
              <w:spacing w:line="360" w:lineRule="auto"/>
              <w:ind w:right="-670"/>
              <w:rPr>
                <w:rFonts w:ascii="宋体" w:hAnsi="宋体" w:cs="宋体"/>
                <w:bCs/>
                <w:sz w:val="24"/>
              </w:rPr>
            </w:pPr>
            <w:r>
              <w:rPr>
                <w:rFonts w:hint="eastAsia" w:ascii="宋体" w:hAnsi="宋体" w:cs="宋体"/>
                <w:bCs/>
                <w:sz w:val="24"/>
              </w:rPr>
              <w:t>小写：</w:t>
            </w:r>
            <w:r>
              <w:rPr>
                <w:rFonts w:hint="eastAsia" w:hAnsi="宋体" w:cs="宋体"/>
                <w:sz w:val="24"/>
                <w:szCs w:val="24"/>
                <w:shd w:val="clear" w:color="auto" w:fill="FFFFFF"/>
              </w:rPr>
              <w:t>批复中监理费用的</w:t>
            </w:r>
            <w:r>
              <w:rPr>
                <w:rFonts w:hint="eastAsia" w:ascii="宋体" w:hAnsi="宋体" w:cs="宋体"/>
                <w:bCs/>
                <w:sz w:val="24"/>
              </w:rPr>
              <w:t>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20"/>
        <w:spacing w:line="360" w:lineRule="auto"/>
        <w:rPr>
          <w:rFonts w:ascii="宋体" w:hAnsi="宋体" w:eastAsia="宋体" w:cs="宋体"/>
          <w:b/>
          <w:bCs/>
          <w:sz w:val="24"/>
        </w:rPr>
      </w:pPr>
    </w:p>
    <w:p>
      <w:pPr>
        <w:pStyle w:val="20"/>
        <w:spacing w:line="560" w:lineRule="exact"/>
        <w:ind w:firstLine="482" w:firstLineChars="200"/>
        <w:jc w:val="right"/>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jc w:val="right"/>
        <w:rPr>
          <w:rFonts w:ascii="宋体" w:hAnsi="宋体"/>
          <w:b/>
          <w:bCs/>
          <w:sz w:val="24"/>
          <w:szCs w:val="28"/>
        </w:rPr>
      </w:pPr>
      <w:r>
        <w:rPr>
          <w:rFonts w:hint="eastAsia" w:ascii="宋体" w:hAnsi="宋体"/>
          <w:b/>
          <w:bCs/>
          <w:sz w:val="24"/>
          <w:szCs w:val="28"/>
        </w:rPr>
        <w:t>日  期：   年   月   日</w:t>
      </w:r>
    </w:p>
    <w:p>
      <w:pPr>
        <w:pStyle w:val="2"/>
        <w:rPr>
          <w:rFonts w:ascii="宋体" w:hAnsi="宋体" w:cs="宋体"/>
          <w:b/>
          <w:bCs/>
          <w:sz w:val="24"/>
          <w:szCs w:val="28"/>
        </w:rPr>
      </w:pPr>
    </w:p>
    <w:p>
      <w:pPr>
        <w:pStyle w:val="2"/>
        <w:rPr>
          <w:rFonts w:ascii="宋体" w:hAnsi="宋体" w:cs="宋体"/>
          <w:b/>
          <w:bCs/>
          <w:sz w:val="24"/>
          <w:szCs w:val="28"/>
        </w:rPr>
      </w:pPr>
    </w:p>
    <w:p>
      <w:pPr>
        <w:pStyle w:val="2"/>
        <w:rPr>
          <w:rFonts w:ascii="宋体" w:hAnsi="宋体" w:cs="宋体"/>
          <w:b/>
          <w:bCs/>
          <w:sz w:val="24"/>
          <w:szCs w:val="28"/>
        </w:rPr>
      </w:pPr>
    </w:p>
    <w:p>
      <w:pPr>
        <w:pStyle w:val="4"/>
        <w:wordWrap w:val="0"/>
        <w:spacing w:before="0" w:after="0" w:line="520" w:lineRule="exact"/>
        <w:rPr>
          <w:rFonts w:ascii="宋体" w:hAnsi="宋体" w:eastAsia="宋体" w:cs="宋体"/>
          <w:sz w:val="24"/>
          <w:szCs w:val="24"/>
        </w:rPr>
      </w:pPr>
      <w:bookmarkStart w:id="214" w:name="_Toc2007"/>
      <w:bookmarkStart w:id="215" w:name="_Toc16998"/>
      <w:r>
        <w:rPr>
          <w:rFonts w:hint="eastAsia" w:ascii="宋体" w:hAnsi="宋体" w:eastAsia="宋体" w:cs="宋体"/>
          <w:sz w:val="24"/>
          <w:szCs w:val="24"/>
        </w:rPr>
        <w:br w:type="page"/>
      </w:r>
      <w:bookmarkEnd w:id="214"/>
      <w:bookmarkEnd w:id="215"/>
    </w:p>
    <w:p>
      <w:pPr>
        <w:pStyle w:val="4"/>
        <w:spacing w:before="0" w:after="0" w:line="520" w:lineRule="exact"/>
        <w:jc w:val="both"/>
        <w:rPr>
          <w:rFonts w:ascii="宋体" w:hAnsi="宋体" w:eastAsia="宋体" w:cs="宋体"/>
          <w:sz w:val="24"/>
          <w:szCs w:val="24"/>
        </w:rPr>
      </w:pPr>
      <w:bookmarkStart w:id="216" w:name="_Toc29464"/>
      <w:bookmarkStart w:id="217" w:name="_Toc3262"/>
      <w:bookmarkStart w:id="218" w:name="_Toc17280"/>
      <w:r>
        <w:rPr>
          <w:rFonts w:hint="eastAsia" w:ascii="宋体" w:hAnsi="宋体" w:eastAsia="宋体" w:cs="宋体"/>
          <w:sz w:val="24"/>
          <w:szCs w:val="24"/>
        </w:rPr>
        <w:t>附件二</w:t>
      </w:r>
    </w:p>
    <w:p>
      <w:pPr>
        <w:pStyle w:val="4"/>
        <w:spacing w:before="0" w:after="0" w:line="520" w:lineRule="exact"/>
        <w:jc w:val="center"/>
        <w:rPr>
          <w:rFonts w:ascii="宋体" w:hAnsi="宋体" w:eastAsia="宋体" w:cs="宋体"/>
          <w:sz w:val="24"/>
          <w:szCs w:val="24"/>
        </w:rPr>
      </w:pPr>
      <w:r>
        <w:rPr>
          <w:rFonts w:hint="eastAsia" w:ascii="宋体" w:hAnsi="宋体" w:eastAsia="宋体" w:cs="宋体"/>
          <w:sz w:val="24"/>
          <w:szCs w:val="24"/>
        </w:rPr>
        <w:t>供应商基本信息</w:t>
      </w:r>
      <w:bookmarkEnd w:id="216"/>
      <w:bookmarkEnd w:id="217"/>
      <w:bookmarkEnd w:id="218"/>
    </w:p>
    <w:p>
      <w:pPr>
        <w:pStyle w:val="35"/>
        <w:spacing w:after="0" w:line="520" w:lineRule="exact"/>
        <w:ind w:firstLine="0"/>
        <w:jc w:val="center"/>
        <w:rPr>
          <w:rFonts w:ascii="宋体" w:hAnsi="宋体" w:cs="宋体"/>
        </w:rPr>
      </w:pPr>
      <w:r>
        <w:rPr>
          <w:rFonts w:hint="eastAsia" w:ascii="宋体" w:hAnsi="宋体" w:cs="宋体"/>
        </w:rPr>
        <w:t>（格式自拟，应附营业执照、资质证书等材料）</w:t>
      </w:r>
    </w:p>
    <w:p>
      <w:pPr>
        <w:pStyle w:val="4"/>
        <w:wordWrap w:val="0"/>
        <w:spacing w:before="0" w:after="0" w:line="520" w:lineRule="exact"/>
        <w:rPr>
          <w:rFonts w:ascii="宋体" w:hAnsi="宋体" w:eastAsia="宋体" w:cs="宋体"/>
          <w:sz w:val="24"/>
          <w:szCs w:val="24"/>
        </w:rPr>
      </w:pPr>
      <w:bookmarkStart w:id="219" w:name="_Toc18369"/>
      <w:bookmarkStart w:id="220" w:name="_Toc10154"/>
      <w:bookmarkStart w:id="221" w:name="_Toc11062"/>
      <w:r>
        <w:rPr>
          <w:rFonts w:hint="eastAsia" w:ascii="宋体" w:hAnsi="宋体" w:eastAsia="宋体" w:cs="宋体"/>
          <w:sz w:val="24"/>
          <w:szCs w:val="24"/>
        </w:rPr>
        <w:t>附件</w:t>
      </w:r>
      <w:bookmarkEnd w:id="219"/>
      <w:bookmarkEnd w:id="220"/>
      <w:bookmarkEnd w:id="221"/>
      <w:r>
        <w:rPr>
          <w:rFonts w:hint="eastAsia" w:ascii="宋体" w:hAnsi="宋体" w:eastAsia="宋体" w:cs="宋体"/>
          <w:sz w:val="24"/>
          <w:szCs w:val="24"/>
        </w:rPr>
        <w:t>三</w:t>
      </w:r>
    </w:p>
    <w:p>
      <w:pPr>
        <w:pStyle w:val="4"/>
        <w:spacing w:before="0" w:after="0" w:line="520" w:lineRule="exact"/>
        <w:jc w:val="center"/>
        <w:rPr>
          <w:rFonts w:ascii="宋体" w:hAnsi="宋体" w:eastAsia="宋体" w:cs="宋体"/>
          <w:sz w:val="24"/>
          <w:szCs w:val="24"/>
        </w:rPr>
      </w:pPr>
      <w:bookmarkStart w:id="222" w:name="_Toc30135"/>
      <w:bookmarkStart w:id="223" w:name="_Toc10696"/>
      <w:bookmarkStart w:id="224" w:name="_Toc13141"/>
      <w:r>
        <w:rPr>
          <w:rFonts w:hint="eastAsia" w:ascii="宋体" w:hAnsi="宋体" w:eastAsia="宋体" w:cs="宋体"/>
          <w:sz w:val="24"/>
          <w:szCs w:val="24"/>
        </w:rPr>
        <w:t>磋商授权书</w:t>
      </w:r>
      <w:bookmarkEnd w:id="222"/>
      <w:bookmarkEnd w:id="223"/>
      <w:bookmarkEnd w:id="224"/>
    </w:p>
    <w:p>
      <w:pPr>
        <w:spacing w:line="520" w:lineRule="exact"/>
        <w:rPr>
          <w:rFonts w:ascii="宋体" w:hAnsi="宋体" w:cs="宋体"/>
          <w:sz w:val="24"/>
          <w:szCs w:val="24"/>
        </w:rPr>
      </w:pPr>
    </w:p>
    <w:p>
      <w:pPr>
        <w:spacing w:line="520" w:lineRule="exact"/>
        <w:jc w:val="left"/>
        <w:rPr>
          <w:rFonts w:ascii="宋体" w:hAnsi="宋体" w:cs="宋体"/>
          <w:sz w:val="24"/>
          <w:szCs w:val="24"/>
        </w:rPr>
      </w:pPr>
      <w:r>
        <w:rPr>
          <w:rFonts w:hint="eastAsia" w:ascii="宋体" w:hAnsi="宋体" w:cs="宋体"/>
          <w:sz w:val="24"/>
          <w:szCs w:val="24"/>
        </w:rPr>
        <w:t>致：_________________</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本授权书声明：（供应商名称）的（法定代表人姓名）授权（被授权人的姓名）为我方就（编号：）项目磋商活动的合法代理人，以我方名义全权处理与该项目磋商、签订合同以及合同执行有关的一切事务。</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特此声明。</w:t>
      </w:r>
    </w:p>
    <w:p>
      <w:pPr>
        <w:spacing w:line="520" w:lineRule="exact"/>
        <w:jc w:val="left"/>
        <w:rPr>
          <w:rFonts w:ascii="宋体" w:hAnsi="宋体" w:cs="宋体"/>
          <w:sz w:val="24"/>
          <w:szCs w:val="24"/>
        </w:rPr>
      </w:pPr>
    </w:p>
    <w:p>
      <w:pPr>
        <w:spacing w:line="520" w:lineRule="exact"/>
        <w:ind w:firstLine="1084" w:firstLineChars="450"/>
        <w:jc w:val="left"/>
        <w:rPr>
          <w:rFonts w:ascii="宋体" w:hAnsi="宋体" w:cs="宋体"/>
          <w:sz w:val="24"/>
          <w:szCs w:val="24"/>
          <w:u w:val="single"/>
        </w:rPr>
      </w:pPr>
      <w:r>
        <w:rPr>
          <w:rFonts w:hint="eastAsia" w:ascii="宋体" w:hAnsi="宋体" w:cs="宋体"/>
          <w:b/>
          <w:bCs/>
          <w:sz w:val="24"/>
          <w:szCs w:val="24"/>
        </w:rPr>
        <w:t>法定代表人签字：</w:t>
      </w:r>
    </w:p>
    <w:p>
      <w:pPr>
        <w:spacing w:line="520" w:lineRule="exact"/>
        <w:jc w:val="left"/>
        <w:rPr>
          <w:rFonts w:ascii="宋体" w:hAnsi="宋体" w:cs="宋体"/>
          <w:sz w:val="24"/>
          <w:szCs w:val="24"/>
          <w:u w:val="single"/>
        </w:rPr>
      </w:pPr>
      <w:r>
        <w:rPr>
          <w:rFonts w:hint="eastAsia" w:ascii="宋体" w:hAnsi="宋体" w:cs="宋体"/>
          <w:sz w:val="24"/>
          <w:szCs w:val="24"/>
        </w:rPr>
        <w:t xml:space="preserve">          职    务：</w:t>
      </w:r>
    </w:p>
    <w:p>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p>
    <w:p>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p>
    <w:p>
      <w:pPr>
        <w:spacing w:line="520" w:lineRule="exact"/>
        <w:ind w:firstLine="1084" w:firstLineChars="450"/>
        <w:jc w:val="left"/>
        <w:rPr>
          <w:rFonts w:ascii="宋体" w:hAnsi="宋体" w:cs="宋体"/>
          <w:b/>
          <w:bCs/>
          <w:sz w:val="24"/>
          <w:szCs w:val="24"/>
        </w:rPr>
      </w:pPr>
    </w:p>
    <w:p>
      <w:pPr>
        <w:spacing w:line="520" w:lineRule="exact"/>
        <w:ind w:firstLine="1084" w:firstLineChars="450"/>
        <w:jc w:val="left"/>
        <w:rPr>
          <w:rFonts w:ascii="宋体" w:hAnsi="宋体" w:cs="宋体"/>
          <w:sz w:val="24"/>
          <w:szCs w:val="24"/>
        </w:rPr>
      </w:pPr>
      <w:r>
        <w:rPr>
          <w:rFonts w:hint="eastAsia" w:ascii="宋体" w:hAnsi="宋体" w:cs="宋体"/>
          <w:b/>
          <w:bCs/>
          <w:sz w:val="24"/>
          <w:szCs w:val="24"/>
        </w:rPr>
        <w:t>代理人（被授权人）：</w:t>
      </w:r>
    </w:p>
    <w:p>
      <w:pPr>
        <w:spacing w:line="520" w:lineRule="exact"/>
        <w:jc w:val="left"/>
        <w:rPr>
          <w:rFonts w:ascii="宋体" w:hAnsi="宋体" w:cs="宋体"/>
          <w:sz w:val="24"/>
          <w:szCs w:val="24"/>
        </w:rPr>
      </w:pPr>
      <w:r>
        <w:rPr>
          <w:rFonts w:hint="eastAsia" w:ascii="宋体" w:hAnsi="宋体" w:cs="宋体"/>
          <w:sz w:val="24"/>
          <w:szCs w:val="24"/>
        </w:rPr>
        <w:t xml:space="preserve">          职    务：</w:t>
      </w:r>
    </w:p>
    <w:p>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p>
    <w:p>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p>
    <w:p>
      <w:pPr>
        <w:spacing w:line="520" w:lineRule="exact"/>
        <w:jc w:val="left"/>
        <w:rPr>
          <w:rFonts w:ascii="宋体" w:hAnsi="宋体" w:cs="宋体"/>
          <w:sz w:val="24"/>
          <w:szCs w:val="24"/>
        </w:rPr>
      </w:pPr>
    </w:p>
    <w:p>
      <w:pPr>
        <w:wordWrap w:val="0"/>
        <w:spacing w:line="520" w:lineRule="exact"/>
        <w:jc w:val="right"/>
        <w:rPr>
          <w:rFonts w:ascii="宋体" w:hAnsi="宋体" w:cs="宋体"/>
          <w:sz w:val="24"/>
          <w:szCs w:val="24"/>
        </w:rPr>
      </w:pPr>
    </w:p>
    <w:p>
      <w:pPr>
        <w:pStyle w:val="20"/>
        <w:spacing w:line="560" w:lineRule="exact"/>
        <w:ind w:firstLine="482" w:firstLineChars="200"/>
        <w:jc w:val="right"/>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jc w:val="right"/>
        <w:rPr>
          <w:rFonts w:hint="eastAsia" w:ascii="宋体" w:hAnsi="宋体"/>
          <w:b/>
          <w:bCs/>
          <w:sz w:val="24"/>
          <w:szCs w:val="28"/>
        </w:rPr>
      </w:pPr>
      <w:r>
        <w:rPr>
          <w:rFonts w:hint="eastAsia" w:ascii="宋体" w:hAnsi="宋体"/>
          <w:b/>
          <w:bCs/>
          <w:sz w:val="24"/>
          <w:szCs w:val="28"/>
        </w:rPr>
        <w:t>日  期：   年   月   日</w:t>
      </w:r>
    </w:p>
    <w:p>
      <w:pPr>
        <w:pStyle w:val="4"/>
      </w:pPr>
    </w:p>
    <w:p>
      <w:pPr>
        <w:spacing w:line="360" w:lineRule="auto"/>
        <w:rPr>
          <w:rFonts w:ascii="宋体" w:hAnsi="宋体" w:cs="宋体"/>
          <w:b/>
          <w:sz w:val="24"/>
          <w:szCs w:val="24"/>
        </w:rPr>
      </w:pPr>
      <w:bookmarkStart w:id="225" w:name="_Toc17226"/>
      <w:bookmarkStart w:id="226" w:name="_Toc23589"/>
      <w:r>
        <w:rPr>
          <w:rFonts w:hint="eastAsia" w:ascii="宋体" w:hAnsi="宋体" w:cs="宋体"/>
          <w:b/>
          <w:sz w:val="24"/>
          <w:szCs w:val="24"/>
        </w:rPr>
        <w:t>法定代表人身份证复印件</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p>
    <w:p>
      <w:pPr>
        <w:spacing w:line="360" w:lineRule="auto"/>
        <w:ind w:firstLine="540" w:firstLineChars="224"/>
        <w:rPr>
          <w:rFonts w:ascii="宋体" w:hAnsi="宋体" w:cs="宋体"/>
          <w:b/>
          <w:sz w:val="24"/>
          <w:szCs w:val="24"/>
        </w:rPr>
      </w:pPr>
      <w:r>
        <w:rPr>
          <w:rFonts w:hint="eastAsia" w:ascii="宋体" w:hAnsi="宋体" w:cs="宋体"/>
          <w:b/>
          <w:sz w:val="24"/>
          <w:szCs w:val="24"/>
        </w:rPr>
        <w:t xml:space="preserve">法定代表人办公电话：。  </w:t>
      </w:r>
    </w:p>
    <w:p>
      <w:pPr>
        <w:spacing w:line="360" w:lineRule="auto"/>
        <w:rPr>
          <w:rFonts w:ascii="宋体" w:hAnsi="宋体" w:cs="宋体"/>
          <w:b/>
          <w:sz w:val="24"/>
          <w:szCs w:val="24"/>
        </w:rPr>
      </w:pPr>
    </w:p>
    <w:p>
      <w:pPr>
        <w:pStyle w:val="2"/>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p>
    <w:p>
      <w:pPr>
        <w:spacing w:line="360" w:lineRule="auto"/>
        <w:ind w:firstLine="482" w:firstLineChars="200"/>
        <w:rPr>
          <w:rFonts w:ascii="宋体" w:hAnsi="宋体" w:cs="宋体"/>
          <w:b/>
          <w:sz w:val="24"/>
          <w:szCs w:val="24"/>
        </w:rPr>
      </w:pPr>
      <w:r>
        <w:rPr>
          <w:rFonts w:hint="eastAsia" w:ascii="宋体" w:hAnsi="宋体" w:cs="宋体"/>
          <w:b/>
          <w:sz w:val="24"/>
          <w:szCs w:val="24"/>
        </w:rPr>
        <w:t xml:space="preserve">代理人（被授权人）办公电话：。  </w:t>
      </w:r>
    </w:p>
    <w:p>
      <w:pPr>
        <w:pStyle w:val="18"/>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2、法定代表人参加投标的无需提供磋商授权书，仅提供法定代表人身份证明及联系方式即可。</w:t>
      </w:r>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bookmarkStart w:id="227" w:name="_Toc17888"/>
      <w:r>
        <w:rPr>
          <w:rFonts w:hint="eastAsia" w:ascii="宋体" w:hAnsi="宋体" w:eastAsia="宋体" w:cs="宋体"/>
          <w:sz w:val="24"/>
          <w:szCs w:val="24"/>
        </w:rPr>
        <w:t>附件</w:t>
      </w:r>
      <w:bookmarkEnd w:id="225"/>
      <w:bookmarkEnd w:id="226"/>
      <w:bookmarkEnd w:id="227"/>
      <w:r>
        <w:rPr>
          <w:rFonts w:hint="eastAsia" w:ascii="宋体" w:hAnsi="宋体" w:eastAsia="宋体" w:cs="宋体"/>
          <w:sz w:val="24"/>
          <w:szCs w:val="24"/>
        </w:rPr>
        <w:t>四</w:t>
      </w:r>
    </w:p>
    <w:p>
      <w:pPr>
        <w:pStyle w:val="4"/>
        <w:spacing w:before="0" w:afterLines="50" w:line="560" w:lineRule="exact"/>
        <w:jc w:val="center"/>
        <w:rPr>
          <w:rFonts w:ascii="宋体" w:hAnsi="宋体" w:eastAsia="宋体" w:cs="宋体"/>
          <w:sz w:val="24"/>
          <w:szCs w:val="24"/>
        </w:rPr>
      </w:pPr>
      <w:bookmarkStart w:id="228" w:name="_Toc28665"/>
      <w:bookmarkStart w:id="229" w:name="_Toc6278"/>
      <w:bookmarkStart w:id="230" w:name="_Toc29263"/>
      <w:bookmarkStart w:id="231" w:name="_Toc417045478"/>
      <w:r>
        <w:rPr>
          <w:rFonts w:hint="eastAsia" w:ascii="宋体" w:hAnsi="宋体" w:eastAsia="宋体" w:cs="宋体"/>
          <w:sz w:val="24"/>
          <w:szCs w:val="24"/>
        </w:rPr>
        <w:t>磋商响应函</w:t>
      </w:r>
      <w:bookmarkEnd w:id="228"/>
      <w:bookmarkEnd w:id="229"/>
      <w:bookmarkEnd w:id="230"/>
    </w:p>
    <w:p>
      <w:pPr>
        <w:spacing w:line="520" w:lineRule="exact"/>
        <w:rPr>
          <w:rFonts w:ascii="宋体" w:hAnsi="宋体" w:cs="宋体"/>
          <w:sz w:val="24"/>
          <w:szCs w:val="24"/>
        </w:rPr>
      </w:pPr>
      <w:r>
        <w:rPr>
          <w:rFonts w:hint="eastAsia" w:ascii="宋体" w:hAnsi="宋体" w:cs="宋体"/>
          <w:sz w:val="24"/>
          <w:szCs w:val="24"/>
        </w:rPr>
        <w:t>致：XXX（代理机构名称）</w:t>
      </w:r>
    </w:p>
    <w:p>
      <w:pPr>
        <w:spacing w:line="520" w:lineRule="exact"/>
        <w:ind w:firstLine="480" w:firstLineChars="200"/>
        <w:rPr>
          <w:rFonts w:ascii="宋体" w:hAnsi="宋体" w:cs="宋体"/>
          <w:sz w:val="24"/>
          <w:szCs w:val="24"/>
        </w:rPr>
      </w:pPr>
      <w:r>
        <w:rPr>
          <w:rFonts w:hint="eastAsia" w:ascii="宋体" w:hAnsi="宋体" w:cs="宋体"/>
          <w:sz w:val="24"/>
          <w:szCs w:val="24"/>
        </w:rPr>
        <w:t>1、根据项目编号：号磋商公告的内容，我方决定参加贵方组织的“</w:t>
      </w:r>
      <w:r>
        <w:rPr>
          <w:rFonts w:hint="eastAsia" w:ascii="宋体" w:hAnsi="宋体" w:cs="宋体"/>
          <w:sz w:val="24"/>
          <w:szCs w:val="24"/>
          <w:u w:val="single"/>
          <w:lang w:val="en-US" w:eastAsia="zh-CN"/>
        </w:rPr>
        <w:t xml:space="preserve">   </w:t>
      </w:r>
      <w:r>
        <w:rPr>
          <w:rFonts w:hint="eastAsia" w:ascii="宋体" w:hAnsi="宋体" w:cs="宋体"/>
          <w:sz w:val="24"/>
          <w:szCs w:val="24"/>
        </w:rPr>
        <w:t>”项目的竞争性磋商采购。我方授权(姓名)代表我方（磋商单位的名称）全权处理本项目磋商的有关事宜。</w:t>
      </w:r>
    </w:p>
    <w:p>
      <w:pPr>
        <w:spacing w:line="520" w:lineRule="exact"/>
        <w:ind w:firstLine="480" w:firstLineChars="200"/>
        <w:rPr>
          <w:rFonts w:ascii="宋体" w:hAnsi="宋体" w:cs="宋体"/>
          <w:sz w:val="24"/>
          <w:szCs w:val="24"/>
        </w:rPr>
      </w:pPr>
      <w:r>
        <w:rPr>
          <w:rFonts w:hint="eastAsia" w:ascii="宋体" w:hAnsi="宋体" w:cs="宋体"/>
          <w:sz w:val="24"/>
          <w:szCs w:val="24"/>
        </w:rPr>
        <w:t>2、我方愿意按照磋商文件规定的各项要求，向采购人提供所需的服务。</w:t>
      </w:r>
    </w:p>
    <w:p>
      <w:pPr>
        <w:spacing w:line="520" w:lineRule="exact"/>
        <w:ind w:firstLine="480" w:firstLineChars="200"/>
        <w:rPr>
          <w:rFonts w:ascii="宋体" w:hAnsi="宋体" w:cs="宋体"/>
          <w:sz w:val="24"/>
          <w:szCs w:val="24"/>
        </w:rPr>
      </w:pPr>
      <w:r>
        <w:rPr>
          <w:rFonts w:hint="eastAsia" w:ascii="宋体" w:hAnsi="宋体" w:cs="宋体"/>
          <w:sz w:val="24"/>
          <w:szCs w:val="24"/>
        </w:rPr>
        <w:t>3、一旦我方成交，我方将严格履行合同规定的责任和义务，保证于采购人要求的日期内完成项目的全部内容，并交付采购人验收、使用。</w:t>
      </w:r>
    </w:p>
    <w:p>
      <w:pPr>
        <w:spacing w:line="520" w:lineRule="exact"/>
        <w:ind w:firstLine="480" w:firstLineChars="200"/>
        <w:rPr>
          <w:rFonts w:ascii="宋体" w:hAnsi="宋体" w:cs="宋体"/>
          <w:sz w:val="24"/>
          <w:szCs w:val="24"/>
        </w:rPr>
      </w:pPr>
      <w:r>
        <w:rPr>
          <w:rFonts w:hint="eastAsia" w:ascii="宋体" w:hAnsi="宋体" w:cs="宋体"/>
          <w:sz w:val="24"/>
          <w:szCs w:val="24"/>
        </w:rPr>
        <w:t>4、如我公司成交，我公司承诺愿意按磋商文件规定缴纳履约保证金。</w:t>
      </w:r>
    </w:p>
    <w:p>
      <w:pPr>
        <w:tabs>
          <w:tab w:val="left" w:pos="840"/>
        </w:tabs>
        <w:spacing w:line="520" w:lineRule="exact"/>
        <w:ind w:firstLine="480" w:firstLineChars="200"/>
        <w:rPr>
          <w:rFonts w:ascii="宋体" w:hAnsi="宋体" w:cs="宋体"/>
          <w:sz w:val="24"/>
          <w:szCs w:val="24"/>
        </w:rPr>
      </w:pPr>
      <w:r>
        <w:rPr>
          <w:rFonts w:hint="eastAsia" w:ascii="宋体" w:hAnsi="宋体" w:cs="宋体"/>
          <w:sz w:val="24"/>
          <w:szCs w:val="24"/>
        </w:rPr>
        <w:t>5、我方愿意提供贵方可能另外要求的、与磋商有关的文件资料，并保证我方已提供和将要提供的文件是真实的、准确的。</w:t>
      </w:r>
    </w:p>
    <w:p>
      <w:pPr>
        <w:tabs>
          <w:tab w:val="left" w:pos="0"/>
          <w:tab w:val="left" w:pos="840"/>
        </w:tabs>
        <w:spacing w:line="520" w:lineRule="exact"/>
        <w:ind w:firstLine="480" w:firstLineChars="200"/>
        <w:rPr>
          <w:rFonts w:ascii="宋体" w:hAnsi="宋体" w:cs="宋体"/>
          <w:sz w:val="24"/>
          <w:szCs w:val="24"/>
        </w:rPr>
      </w:pPr>
      <w:r>
        <w:rPr>
          <w:rFonts w:hint="eastAsia" w:ascii="宋体" w:hAnsi="宋体" w:cs="宋体"/>
          <w:sz w:val="24"/>
          <w:szCs w:val="24"/>
        </w:rPr>
        <w:t>6、我方完全理解贵方不一定将合同授予最低报价的供应商。</w:t>
      </w:r>
    </w:p>
    <w:p>
      <w:pPr>
        <w:tabs>
          <w:tab w:val="left" w:pos="0"/>
          <w:tab w:val="left" w:pos="840"/>
        </w:tabs>
        <w:spacing w:line="360" w:lineRule="auto"/>
        <w:jc w:val="left"/>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pStyle w:val="20"/>
        <w:spacing w:line="560" w:lineRule="exact"/>
        <w:ind w:firstLine="482" w:firstLineChars="200"/>
        <w:jc w:val="right"/>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jc w:val="right"/>
        <w:rPr>
          <w:rFonts w:ascii="宋体" w:hAnsi="宋体"/>
          <w:b/>
          <w:bCs/>
          <w:sz w:val="24"/>
          <w:szCs w:val="28"/>
        </w:rPr>
      </w:pPr>
      <w:r>
        <w:rPr>
          <w:rFonts w:hint="eastAsia" w:ascii="宋体" w:hAnsi="宋体"/>
          <w:b/>
          <w:bCs/>
          <w:sz w:val="24"/>
          <w:szCs w:val="28"/>
        </w:rPr>
        <w:t>日  期：   年   月   日</w:t>
      </w:r>
    </w:p>
    <w:p>
      <w:pPr>
        <w:pStyle w:val="4"/>
        <w:spacing w:before="0" w:after="0" w:line="560" w:lineRule="exact"/>
        <w:rPr>
          <w:rFonts w:eastAsia="宋体"/>
          <w:sz w:val="28"/>
          <w:szCs w:val="28"/>
        </w:rPr>
      </w:pPr>
      <w:r>
        <w:rPr>
          <w:rFonts w:hint="eastAsia" w:ascii="宋体" w:hAnsi="宋体" w:eastAsia="宋体" w:cs="宋体"/>
          <w:sz w:val="24"/>
          <w:szCs w:val="24"/>
        </w:rPr>
        <w:br w:type="page"/>
      </w:r>
      <w:bookmarkStart w:id="232" w:name="_Toc21593"/>
      <w:bookmarkStart w:id="233" w:name="_Toc30354"/>
      <w:bookmarkStart w:id="234" w:name="_Toc16627"/>
      <w:r>
        <w:rPr>
          <w:rFonts w:hint="eastAsia" w:ascii="宋体" w:hAnsi="宋体" w:eastAsia="宋体" w:cs="宋体"/>
          <w:sz w:val="24"/>
          <w:szCs w:val="24"/>
        </w:rPr>
        <w:t>附件</w:t>
      </w:r>
      <w:bookmarkEnd w:id="231"/>
      <w:bookmarkEnd w:id="232"/>
      <w:bookmarkEnd w:id="233"/>
      <w:bookmarkEnd w:id="234"/>
      <w:bookmarkStart w:id="235" w:name="_Toc26881"/>
      <w:bookmarkStart w:id="236" w:name="_Toc10256"/>
      <w:bookmarkStart w:id="237" w:name="_Toc26949"/>
      <w:r>
        <w:rPr>
          <w:rFonts w:hint="eastAsia" w:ascii="宋体" w:hAnsi="宋体" w:eastAsia="宋体" w:cs="宋体"/>
          <w:sz w:val="24"/>
          <w:szCs w:val="24"/>
        </w:rPr>
        <w:t>五</w:t>
      </w:r>
    </w:p>
    <w:p>
      <w:pPr>
        <w:pStyle w:val="35"/>
        <w:spacing w:line="500" w:lineRule="exact"/>
        <w:ind w:firstLine="2891" w:firstLineChars="1200"/>
        <w:rPr>
          <w:rFonts w:ascii="宋体" w:hAnsi="宋体" w:cs="宋体"/>
          <w:b/>
          <w:szCs w:val="24"/>
          <w:lang w:val="zh-CN"/>
        </w:rPr>
      </w:pPr>
      <w:bookmarkStart w:id="238" w:name="_Hlk77793942"/>
    </w:p>
    <w:p>
      <w:pPr>
        <w:pStyle w:val="35"/>
        <w:spacing w:line="500" w:lineRule="exact"/>
        <w:ind w:firstLine="2891" w:firstLineChars="1200"/>
        <w:rPr>
          <w:rFonts w:ascii="宋体" w:hAnsi="宋体" w:cs="宋体"/>
          <w:b/>
          <w:szCs w:val="24"/>
          <w:lang w:val="zh-CN"/>
        </w:rPr>
      </w:pPr>
      <w:r>
        <w:rPr>
          <w:rFonts w:hint="eastAsia" w:ascii="宋体" w:hAnsi="宋体" w:cs="宋体"/>
          <w:b/>
          <w:szCs w:val="24"/>
          <w:lang w:val="zh-CN"/>
        </w:rPr>
        <w:t>无重大违法记录声明函</w:t>
      </w:r>
    </w:p>
    <w:p>
      <w:pPr>
        <w:pStyle w:val="35"/>
        <w:spacing w:line="500" w:lineRule="exact"/>
        <w:ind w:firstLine="480" w:firstLineChars="200"/>
        <w:rPr>
          <w:rFonts w:ascii="宋体" w:hAnsi="宋体"/>
          <w:szCs w:val="24"/>
        </w:rPr>
      </w:pPr>
      <w:bookmarkStart w:id="239"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500" w:lineRule="exact"/>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500" w:lineRule="exact"/>
        <w:ind w:firstLine="435"/>
        <w:rPr>
          <w:rFonts w:ascii="宋体" w:hAnsi="宋体"/>
          <w:sz w:val="24"/>
          <w:szCs w:val="24"/>
        </w:rPr>
      </w:pPr>
    </w:p>
    <w:bookmarkEnd w:id="239"/>
    <w:p>
      <w:pPr>
        <w:pStyle w:val="35"/>
        <w:spacing w:line="500" w:lineRule="exact"/>
        <w:ind w:firstLine="210"/>
        <w:jc w:val="right"/>
        <w:rPr>
          <w:rFonts w:ascii="宋体" w:hAnsi="宋体"/>
          <w:bCs/>
          <w:szCs w:val="24"/>
        </w:rPr>
      </w:pPr>
      <w:r>
        <w:rPr>
          <w:rFonts w:hint="eastAsia" w:ascii="宋体" w:hAnsi="宋体"/>
          <w:bCs/>
          <w:szCs w:val="24"/>
        </w:rPr>
        <w:t>供应商盖章：</w:t>
      </w:r>
    </w:p>
    <w:p>
      <w:pPr>
        <w:pStyle w:val="35"/>
        <w:spacing w:line="500" w:lineRule="exact"/>
        <w:ind w:firstLine="210"/>
        <w:jc w:val="right"/>
      </w:pPr>
      <w:r>
        <w:rPr>
          <w:rFonts w:hint="eastAsia" w:ascii="宋体" w:hAnsi="宋体"/>
          <w:bCs/>
          <w:szCs w:val="24"/>
        </w:rPr>
        <w:t>日  期：   年   月   日</w:t>
      </w:r>
    </w:p>
    <w:p>
      <w:pPr>
        <w:pStyle w:val="35"/>
        <w:spacing w:line="500" w:lineRule="exact"/>
        <w:ind w:firstLine="210"/>
      </w:pPr>
    </w:p>
    <w:p>
      <w:pPr>
        <w:tabs>
          <w:tab w:val="left" w:pos="630"/>
        </w:tabs>
        <w:spacing w:afterLines="50" w:line="500" w:lineRule="exact"/>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500" w:lineRule="exact"/>
        <w:ind w:firstLine="435"/>
        <w:rPr>
          <w:rFonts w:ascii="宋体" w:hAnsi="宋体"/>
          <w:sz w:val="24"/>
          <w:szCs w:val="24"/>
        </w:rPr>
      </w:pPr>
      <w:bookmarkStart w:id="240" w:name="_Hlk77794010"/>
      <w:r>
        <w:rPr>
          <w:rFonts w:hint="eastAsia" w:ascii="宋体" w:hAnsi="宋体"/>
          <w:sz w:val="24"/>
          <w:szCs w:val="24"/>
        </w:rPr>
        <w:t>本公司郑重承诺，我公司无以下不良信用记录情形：</w:t>
      </w:r>
    </w:p>
    <w:p>
      <w:pPr>
        <w:spacing w:line="500" w:lineRule="exact"/>
        <w:ind w:firstLine="435"/>
        <w:rPr>
          <w:rFonts w:ascii="宋体" w:hAnsi="宋体"/>
          <w:sz w:val="24"/>
          <w:szCs w:val="24"/>
        </w:rPr>
      </w:pPr>
      <w:r>
        <w:rPr>
          <w:rFonts w:hint="eastAsia" w:ascii="宋体" w:hAnsi="宋体"/>
          <w:sz w:val="24"/>
          <w:szCs w:val="24"/>
        </w:rPr>
        <w:t>1、公司被人民法院列入失信被执行人；</w:t>
      </w:r>
    </w:p>
    <w:p>
      <w:pPr>
        <w:spacing w:line="500" w:lineRule="exact"/>
        <w:ind w:firstLine="435"/>
        <w:rPr>
          <w:rFonts w:ascii="宋体" w:hAnsi="宋体"/>
          <w:sz w:val="24"/>
          <w:szCs w:val="24"/>
        </w:rPr>
      </w:pPr>
      <w:r>
        <w:rPr>
          <w:rFonts w:hint="eastAsia" w:ascii="宋体" w:hAnsi="宋体"/>
          <w:color w:val="000000" w:themeColor="text1"/>
          <w:sz w:val="24"/>
          <w:szCs w:val="24"/>
        </w:rPr>
        <w:t>2、</w:t>
      </w:r>
      <w:r>
        <w:rPr>
          <w:rFonts w:hint="eastAsia" w:ascii="宋体" w:hAnsi="宋体"/>
          <w:sz w:val="24"/>
          <w:szCs w:val="24"/>
        </w:rPr>
        <w:t>公司被市场监督管理部门列入严重违法失信企业名录；</w:t>
      </w:r>
    </w:p>
    <w:p>
      <w:pPr>
        <w:spacing w:line="500" w:lineRule="exact"/>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500" w:lineRule="exact"/>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500" w:lineRule="exact"/>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500" w:lineRule="exact"/>
        <w:ind w:firstLine="630"/>
        <w:rPr>
          <w:rFonts w:ascii="宋体" w:hAnsi="宋体"/>
          <w:sz w:val="24"/>
          <w:szCs w:val="24"/>
        </w:rPr>
      </w:pPr>
    </w:p>
    <w:bookmarkEnd w:id="235"/>
    <w:bookmarkEnd w:id="236"/>
    <w:bookmarkEnd w:id="237"/>
    <w:bookmarkEnd w:id="238"/>
    <w:bookmarkEnd w:id="240"/>
    <w:p>
      <w:pPr>
        <w:tabs>
          <w:tab w:val="left" w:pos="630"/>
        </w:tabs>
        <w:spacing w:line="500" w:lineRule="exact"/>
        <w:ind w:firstLine="5428" w:firstLineChars="2262"/>
        <w:jc w:val="right"/>
        <w:rPr>
          <w:rFonts w:ascii="宋体" w:hAnsi="宋体" w:cs="宋体"/>
          <w:sz w:val="24"/>
          <w:szCs w:val="24"/>
        </w:rPr>
      </w:pPr>
      <w:bookmarkStart w:id="241" w:name="_Toc363199274"/>
      <w:r>
        <w:rPr>
          <w:rFonts w:hint="eastAsia" w:ascii="宋体" w:hAnsi="宋体" w:cs="宋体"/>
          <w:sz w:val="24"/>
          <w:szCs w:val="24"/>
        </w:rPr>
        <w:t>供应商盖章：</w:t>
      </w:r>
    </w:p>
    <w:p>
      <w:pPr>
        <w:tabs>
          <w:tab w:val="left" w:pos="630"/>
        </w:tabs>
        <w:spacing w:line="500" w:lineRule="exact"/>
        <w:ind w:firstLine="5428" w:firstLineChars="2262"/>
        <w:jc w:val="right"/>
        <w:rPr>
          <w:rFonts w:ascii="宋体" w:hAnsi="宋体" w:cs="宋体"/>
          <w:sz w:val="24"/>
          <w:szCs w:val="24"/>
        </w:rPr>
      </w:pPr>
      <w:r>
        <w:rPr>
          <w:rFonts w:hint="eastAsia" w:ascii="宋体" w:hAnsi="宋体" w:cs="宋体"/>
          <w:sz w:val="24"/>
          <w:szCs w:val="24"/>
        </w:rPr>
        <w:t>日  期：   年   月   日</w:t>
      </w:r>
    </w:p>
    <w:p>
      <w:pPr>
        <w:tabs>
          <w:tab w:val="left" w:pos="630"/>
        </w:tabs>
        <w:spacing w:line="360" w:lineRule="auto"/>
        <w:rPr>
          <w:rFonts w:ascii="宋体" w:hAnsi="宋体"/>
          <w:bCs/>
          <w:sz w:val="24"/>
          <w:szCs w:val="24"/>
          <w:u w:val="single"/>
        </w:rPr>
      </w:pPr>
      <w:r>
        <w:rPr>
          <w:rFonts w:hint="eastAsia" w:ascii="宋体" w:hAnsi="宋体" w:cs="宋体"/>
          <w:sz w:val="24"/>
          <w:szCs w:val="24"/>
        </w:rPr>
        <w:br w:type="page"/>
      </w:r>
      <w:bookmarkStart w:id="242" w:name="_Toc20743"/>
      <w:bookmarkStart w:id="243" w:name="_Toc17797"/>
      <w:bookmarkStart w:id="244" w:name="_Toc18709"/>
      <w:r>
        <w:rPr>
          <w:rFonts w:hint="eastAsia" w:ascii="宋体" w:hAnsi="宋体" w:cs="宋体"/>
          <w:b/>
          <w:bCs/>
          <w:sz w:val="24"/>
          <w:szCs w:val="24"/>
        </w:rPr>
        <w:t>附件</w:t>
      </w:r>
      <w:bookmarkEnd w:id="241"/>
      <w:bookmarkEnd w:id="242"/>
      <w:bookmarkEnd w:id="243"/>
      <w:bookmarkEnd w:id="244"/>
      <w:r>
        <w:rPr>
          <w:rFonts w:hint="eastAsia" w:ascii="宋体" w:hAnsi="宋体" w:cs="宋体"/>
          <w:b/>
          <w:bCs/>
          <w:sz w:val="24"/>
          <w:szCs w:val="24"/>
        </w:rPr>
        <w:t>六</w:t>
      </w:r>
    </w:p>
    <w:p>
      <w:pPr>
        <w:pStyle w:val="4"/>
        <w:spacing w:before="0" w:after="0" w:line="560" w:lineRule="exact"/>
        <w:jc w:val="center"/>
        <w:rPr>
          <w:rFonts w:ascii="宋体" w:hAnsi="宋体" w:eastAsia="宋体" w:cs="宋体"/>
          <w:sz w:val="24"/>
          <w:szCs w:val="24"/>
          <w:lang w:val="zh-CN"/>
        </w:rPr>
      </w:pPr>
      <w:bookmarkStart w:id="245" w:name="_Toc30075"/>
      <w:bookmarkStart w:id="246" w:name="_Toc18402"/>
      <w:bookmarkStart w:id="247" w:name="_Toc25238"/>
      <w:r>
        <w:rPr>
          <w:rFonts w:hint="eastAsia" w:ascii="宋体" w:hAnsi="宋体" w:eastAsia="宋体" w:cs="宋体"/>
          <w:sz w:val="24"/>
          <w:szCs w:val="24"/>
          <w:lang w:val="zh-CN"/>
        </w:rPr>
        <w:t>响应情况表</w:t>
      </w:r>
      <w:bookmarkEnd w:id="245"/>
      <w:bookmarkEnd w:id="246"/>
      <w:bookmarkEnd w:id="247"/>
    </w:p>
    <w:p>
      <w:pPr>
        <w:jc w:val="center"/>
        <w:rPr>
          <w:rFonts w:ascii="宋体" w:hAnsi="宋体" w:cs="宋体"/>
          <w:bCs/>
          <w:sz w:val="24"/>
          <w:szCs w:val="24"/>
          <w:lang w:val="zh-CN"/>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pPr>
              <w:jc w:val="center"/>
              <w:rPr>
                <w:rFonts w:ascii="宋体" w:hAnsi="宋体" w:cs="宋体"/>
                <w:b/>
                <w:sz w:val="24"/>
                <w:szCs w:val="21"/>
              </w:rPr>
            </w:pPr>
            <w:bookmarkStart w:id="248" w:name="_Toc471299110"/>
            <w:r>
              <w:rPr>
                <w:rFonts w:hint="eastAsia" w:ascii="宋体" w:hAnsi="宋体" w:cs="宋体"/>
                <w:b/>
                <w:sz w:val="24"/>
                <w:szCs w:val="21"/>
              </w:rPr>
              <w:t>按磋商文件规定填写</w:t>
            </w:r>
          </w:p>
        </w:tc>
        <w:tc>
          <w:tcPr>
            <w:tcW w:w="4200" w:type="dxa"/>
            <w:gridSpan w:val="2"/>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vAlign w:val="center"/>
          </w:tcPr>
          <w:p>
            <w:pPr>
              <w:jc w:val="center"/>
              <w:rPr>
                <w:rFonts w:ascii="宋体" w:hAnsi="宋体" w:cs="宋体"/>
                <w:b/>
                <w:sz w:val="24"/>
                <w:szCs w:val="21"/>
              </w:rPr>
            </w:pPr>
            <w:r>
              <w:rPr>
                <w:rFonts w:hint="eastAsia" w:ascii="宋体" w:hAnsi="宋体" w:cs="宋体"/>
                <w:b/>
                <w:sz w:val="24"/>
                <w:szCs w:val="21"/>
              </w:rPr>
              <w:t>磋商文件要求</w:t>
            </w:r>
          </w:p>
        </w:tc>
        <w:tc>
          <w:tcPr>
            <w:tcW w:w="2222" w:type="dxa"/>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794" w:type="dxa"/>
            <w:vAlign w:val="center"/>
          </w:tcPr>
          <w:p>
            <w:pPr>
              <w:jc w:val="center"/>
              <w:rPr>
                <w:rFonts w:ascii="宋体" w:hAnsi="宋体" w:cs="宋体"/>
                <w:sz w:val="24"/>
                <w:szCs w:val="24"/>
              </w:rPr>
            </w:pPr>
            <w:r>
              <w:rPr>
                <w:rFonts w:hint="eastAsia" w:ascii="宋体" w:hAnsi="宋体" w:cs="宋体"/>
                <w:sz w:val="24"/>
                <w:szCs w:val="28"/>
              </w:rPr>
              <w:t>技术响应</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794" w:type="dxa"/>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794" w:type="dxa"/>
            <w:vAlign w:val="center"/>
          </w:tcPr>
          <w:p>
            <w:pPr>
              <w:jc w:val="center"/>
              <w:rPr>
                <w:rFonts w:ascii="宋体" w:hAnsi="宋体" w:cs="宋体"/>
                <w:sz w:val="24"/>
                <w:szCs w:val="24"/>
              </w:rPr>
            </w:pPr>
            <w:r>
              <w:rPr>
                <w:rFonts w:hint="eastAsia" w:ascii="宋体" w:hAnsi="宋体" w:cs="宋体"/>
                <w:sz w:val="24"/>
                <w:szCs w:val="28"/>
              </w:rPr>
              <w:t>服务期响应</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794" w:type="dxa"/>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460" w:lineRule="exact"/>
        <w:rPr>
          <w:rFonts w:ascii="宋体" w:hAnsi="宋体" w:cs="宋体"/>
          <w:b/>
          <w:bCs/>
          <w:sz w:val="24"/>
          <w:szCs w:val="24"/>
        </w:rPr>
      </w:pPr>
    </w:p>
    <w:p>
      <w:pPr>
        <w:tabs>
          <w:tab w:val="left" w:pos="630"/>
        </w:tabs>
        <w:spacing w:line="360" w:lineRule="auto"/>
        <w:ind w:firstLine="5428" w:firstLineChars="2262"/>
        <w:jc w:val="right"/>
        <w:rPr>
          <w:rFonts w:ascii="宋体" w:hAnsi="宋体" w:cs="宋体"/>
          <w:sz w:val="24"/>
          <w:szCs w:val="24"/>
        </w:rPr>
      </w:pPr>
      <w:r>
        <w:rPr>
          <w:rFonts w:hint="eastAsia" w:ascii="宋体" w:hAnsi="宋体" w:cs="宋体"/>
          <w:sz w:val="24"/>
          <w:szCs w:val="24"/>
        </w:rPr>
        <w:t>供应商盖章：</w:t>
      </w:r>
    </w:p>
    <w:p>
      <w:pPr>
        <w:tabs>
          <w:tab w:val="left" w:pos="630"/>
        </w:tabs>
        <w:spacing w:line="360" w:lineRule="auto"/>
        <w:ind w:firstLine="5428" w:firstLineChars="2262"/>
        <w:jc w:val="right"/>
        <w:rPr>
          <w:rFonts w:ascii="宋体" w:hAnsi="宋体" w:cs="宋体"/>
          <w:sz w:val="24"/>
          <w:szCs w:val="24"/>
        </w:rPr>
      </w:pPr>
      <w:r>
        <w:rPr>
          <w:rFonts w:hint="eastAsia" w:ascii="宋体" w:hAnsi="宋体" w:cs="宋体"/>
          <w:sz w:val="24"/>
          <w:szCs w:val="24"/>
        </w:rPr>
        <w:t>日  期：   年   月   日</w:t>
      </w:r>
    </w:p>
    <w:p>
      <w:pPr>
        <w:spacing w:line="460" w:lineRule="exact"/>
        <w:rPr>
          <w:rFonts w:ascii="宋体" w:hAnsi="宋体" w:cs="宋体"/>
          <w:sz w:val="24"/>
          <w:szCs w:val="24"/>
        </w:rPr>
      </w:pPr>
    </w:p>
    <w:p>
      <w:pPr>
        <w:spacing w:line="500" w:lineRule="exact"/>
        <w:rPr>
          <w:rFonts w:ascii="宋体" w:hAnsi="宋体" w:cs="宋体"/>
          <w:sz w:val="24"/>
          <w:szCs w:val="28"/>
        </w:rPr>
      </w:pPr>
      <w:r>
        <w:rPr>
          <w:rFonts w:hint="eastAsia" w:ascii="宋体" w:hAnsi="宋体" w:cs="宋体"/>
          <w:b/>
          <w:bCs/>
          <w:sz w:val="24"/>
          <w:szCs w:val="24"/>
        </w:rPr>
        <w:t>注：</w:t>
      </w:r>
      <w:r>
        <w:rPr>
          <w:rFonts w:hint="eastAsia" w:ascii="宋体" w:hAnsi="宋体" w:cs="宋体"/>
          <w:sz w:val="24"/>
          <w:szCs w:val="28"/>
        </w:rPr>
        <w:t>提供的服务满足采购需求；付款及服务期等均应响应磋商文件要求。</w:t>
      </w:r>
      <w:bookmarkStart w:id="249" w:name="_Toc22037"/>
      <w:bookmarkStart w:id="250" w:name="_Toc29422"/>
    </w:p>
    <w:p>
      <w:pPr>
        <w:spacing w:line="500" w:lineRule="exact"/>
        <w:rPr>
          <w:rFonts w:ascii="宋体" w:hAnsi="宋体" w:cs="宋体"/>
          <w:sz w:val="24"/>
          <w:szCs w:val="28"/>
        </w:rPr>
      </w:pPr>
    </w:p>
    <w:p>
      <w:pPr>
        <w:spacing w:line="500" w:lineRule="exact"/>
        <w:rPr>
          <w:rStyle w:val="106"/>
          <w:rFonts w:ascii="宋体" w:hAnsi="宋体" w:eastAsia="宋体" w:cs="宋体"/>
          <w:sz w:val="24"/>
          <w:szCs w:val="24"/>
        </w:rPr>
      </w:pPr>
      <w:r>
        <w:rPr>
          <w:rStyle w:val="106"/>
          <w:rFonts w:hint="eastAsia" w:ascii="宋体" w:hAnsi="宋体" w:eastAsia="宋体" w:cs="宋体"/>
          <w:sz w:val="24"/>
          <w:szCs w:val="24"/>
        </w:rPr>
        <w:t>附件</w:t>
      </w:r>
      <w:bookmarkEnd w:id="248"/>
      <w:bookmarkEnd w:id="249"/>
      <w:bookmarkEnd w:id="250"/>
      <w:r>
        <w:rPr>
          <w:rStyle w:val="106"/>
          <w:rFonts w:hint="eastAsia" w:ascii="宋体" w:hAnsi="宋体" w:cs="宋体"/>
          <w:sz w:val="24"/>
          <w:szCs w:val="24"/>
        </w:rPr>
        <w:t>七</w:t>
      </w:r>
    </w:p>
    <w:p>
      <w:pPr>
        <w:pStyle w:val="4"/>
        <w:spacing w:before="0" w:after="0" w:line="560" w:lineRule="exact"/>
        <w:jc w:val="center"/>
        <w:rPr>
          <w:rFonts w:ascii="宋体" w:hAnsi="宋体" w:eastAsia="宋体" w:cs="宋体"/>
          <w:sz w:val="24"/>
          <w:szCs w:val="24"/>
        </w:rPr>
      </w:pPr>
      <w:r>
        <w:rPr>
          <w:rFonts w:hint="eastAsia" w:ascii="宋体" w:hAnsi="宋体" w:eastAsia="宋体" w:cs="宋体"/>
          <w:sz w:val="24"/>
          <w:szCs w:val="24"/>
        </w:rPr>
        <w:t>技术标材料</w:t>
      </w:r>
    </w:p>
    <w:p>
      <w:pPr>
        <w:jc w:val="center"/>
        <w:rPr>
          <w:rFonts w:ascii="宋体" w:hAnsi="宋体" w:cs="宋体"/>
          <w:sz w:val="24"/>
          <w:szCs w:val="24"/>
        </w:rPr>
      </w:pPr>
      <w:r>
        <w:rPr>
          <w:rFonts w:hint="eastAsia" w:ascii="宋体" w:hAnsi="宋体" w:cs="宋体"/>
          <w:sz w:val="24"/>
          <w:szCs w:val="24"/>
        </w:rPr>
        <w:t>（供应商可按技术标评审内容自拟格式）</w:t>
      </w:r>
    </w:p>
    <w:p>
      <w:pPr>
        <w:pStyle w:val="2"/>
      </w:pPr>
    </w:p>
    <w:p>
      <w:pPr>
        <w:spacing w:line="500" w:lineRule="exact"/>
        <w:rPr>
          <w:rFonts w:ascii="宋体" w:hAnsi="宋体" w:cs="宋体"/>
          <w:sz w:val="24"/>
          <w:szCs w:val="24"/>
        </w:rPr>
      </w:pPr>
      <w:bookmarkStart w:id="251" w:name="_Toc1624"/>
      <w:bookmarkStart w:id="252" w:name="_Toc30527"/>
      <w:bookmarkStart w:id="253" w:name="_Toc18625"/>
      <w:r>
        <w:rPr>
          <w:rStyle w:val="106"/>
          <w:rFonts w:hint="eastAsia" w:ascii="宋体" w:hAnsi="宋体" w:eastAsia="宋体" w:cs="宋体"/>
          <w:sz w:val="24"/>
          <w:szCs w:val="24"/>
        </w:rPr>
        <w:t>附件</w:t>
      </w:r>
      <w:r>
        <w:rPr>
          <w:rStyle w:val="106"/>
          <w:rFonts w:hint="eastAsia" w:ascii="宋体" w:hAnsi="宋体" w:cs="宋体"/>
          <w:sz w:val="24"/>
          <w:szCs w:val="24"/>
        </w:rPr>
        <w:t>八</w:t>
      </w:r>
    </w:p>
    <w:p>
      <w:pPr>
        <w:pStyle w:val="4"/>
        <w:spacing w:before="0" w:after="0" w:line="560" w:lineRule="exact"/>
        <w:jc w:val="center"/>
        <w:rPr>
          <w:rFonts w:ascii="宋体" w:hAnsi="宋体" w:eastAsia="宋体" w:cs="宋体"/>
          <w:sz w:val="24"/>
          <w:szCs w:val="24"/>
        </w:rPr>
      </w:pPr>
      <w:r>
        <w:rPr>
          <w:rFonts w:hint="eastAsia" w:ascii="宋体" w:hAnsi="宋体" w:eastAsia="宋体" w:cs="宋体"/>
          <w:sz w:val="24"/>
          <w:szCs w:val="24"/>
        </w:rPr>
        <w:t>相关服务承诺函</w:t>
      </w:r>
      <w:bookmarkEnd w:id="251"/>
      <w:bookmarkEnd w:id="252"/>
      <w:bookmarkEnd w:id="253"/>
    </w:p>
    <w:p>
      <w:pPr>
        <w:jc w:val="center"/>
        <w:rPr>
          <w:rFonts w:ascii="宋体" w:hAnsi="宋体" w:cs="宋体"/>
          <w:sz w:val="24"/>
          <w:szCs w:val="28"/>
        </w:rPr>
      </w:pPr>
    </w:p>
    <w:p>
      <w:pPr>
        <w:jc w:val="center"/>
        <w:rPr>
          <w:rFonts w:ascii="宋体" w:hAnsi="宋体" w:cs="宋体"/>
        </w:rPr>
      </w:pPr>
      <w:r>
        <w:rPr>
          <w:rFonts w:hint="eastAsia" w:ascii="宋体" w:hAnsi="宋体" w:cs="宋体"/>
          <w:sz w:val="24"/>
          <w:szCs w:val="28"/>
        </w:rPr>
        <w:t>(供应商可自行制作格式)</w:t>
      </w:r>
    </w:p>
    <w:p>
      <w:pPr>
        <w:rPr>
          <w:rFonts w:ascii="宋体" w:hAnsi="宋体" w:cs="宋体"/>
        </w:rPr>
      </w:pPr>
    </w:p>
    <w:p>
      <w:pPr>
        <w:rPr>
          <w:rFonts w:ascii="宋体" w:hAnsi="宋体" w:cs="宋体"/>
          <w:b/>
          <w:bCs/>
          <w:sz w:val="24"/>
          <w:szCs w:val="24"/>
        </w:rPr>
      </w:pPr>
    </w:p>
    <w:p>
      <w:pPr>
        <w:outlineLvl w:val="0"/>
        <w:rPr>
          <w:rFonts w:ascii="宋体" w:hAnsi="宋体" w:cs="宋体"/>
          <w:bCs/>
          <w:sz w:val="24"/>
          <w:szCs w:val="24"/>
        </w:rPr>
      </w:pPr>
      <w:bookmarkStart w:id="254" w:name="_Toc2238"/>
      <w:bookmarkStart w:id="255" w:name="_Toc7571"/>
      <w:bookmarkStart w:id="256" w:name="_Toc3162"/>
      <w:r>
        <w:rPr>
          <w:rStyle w:val="106"/>
          <w:rFonts w:hint="eastAsia" w:ascii="宋体" w:hAnsi="宋体" w:eastAsia="宋体" w:cs="宋体"/>
          <w:sz w:val="24"/>
          <w:szCs w:val="24"/>
        </w:rPr>
        <w:t>附件</w:t>
      </w:r>
      <w:bookmarkEnd w:id="254"/>
      <w:bookmarkEnd w:id="255"/>
      <w:bookmarkEnd w:id="256"/>
      <w:bookmarkStart w:id="257" w:name="_Toc28850"/>
      <w:r>
        <w:rPr>
          <w:rStyle w:val="106"/>
          <w:rFonts w:hint="eastAsia" w:ascii="宋体" w:hAnsi="宋体" w:cs="宋体"/>
          <w:sz w:val="24"/>
          <w:szCs w:val="24"/>
        </w:rPr>
        <w:t>九</w:t>
      </w:r>
    </w:p>
    <w:p>
      <w:pPr>
        <w:spacing w:line="360" w:lineRule="auto"/>
        <w:jc w:val="center"/>
        <w:rPr>
          <w:rFonts w:ascii="宋体" w:hAnsi="宋体" w:cs="宋体"/>
          <w:bCs/>
          <w:sz w:val="24"/>
          <w:szCs w:val="24"/>
        </w:rPr>
      </w:pPr>
      <w:r>
        <w:rPr>
          <w:rFonts w:hint="eastAsia" w:ascii="宋体" w:hAnsi="宋体" w:cs="宋体"/>
          <w:b/>
          <w:sz w:val="24"/>
          <w:szCs w:val="24"/>
        </w:rPr>
        <w:t>磋商文件要求和供应商认为需要提供的其它说明和资料</w:t>
      </w:r>
      <w:bookmarkEnd w:id="257"/>
    </w:p>
    <w:p>
      <w:pPr>
        <w:pStyle w:val="2"/>
        <w:rPr>
          <w:rFonts w:ascii="宋体" w:hAnsi="宋体" w:cs="宋体"/>
          <w:bCs/>
          <w:sz w:val="24"/>
          <w:szCs w:val="24"/>
        </w:rPr>
      </w:pPr>
    </w:p>
    <w:p>
      <w:pPr>
        <w:outlineLvl w:val="0"/>
        <w:rPr>
          <w:rStyle w:val="106"/>
          <w:rFonts w:ascii="宋体" w:hAnsi="宋体" w:eastAsia="宋体" w:cs="宋体"/>
          <w:sz w:val="24"/>
          <w:szCs w:val="24"/>
        </w:rPr>
      </w:pPr>
    </w:p>
    <w:p>
      <w:pPr>
        <w:outlineLvl w:val="0"/>
        <w:rPr>
          <w:rStyle w:val="106"/>
          <w:rFonts w:ascii="宋体" w:hAnsi="宋体" w:eastAsia="宋体" w:cs="宋体"/>
          <w:color w:val="FF0000"/>
          <w:sz w:val="24"/>
          <w:szCs w:val="24"/>
        </w:rPr>
      </w:pPr>
      <w:r>
        <w:rPr>
          <w:rStyle w:val="106"/>
          <w:rFonts w:hint="eastAsia" w:ascii="宋体" w:hAnsi="宋体" w:eastAsia="宋体" w:cs="宋体"/>
          <w:color w:val="FF0000"/>
          <w:sz w:val="24"/>
          <w:szCs w:val="24"/>
        </w:rPr>
        <w:t>附件十</w:t>
      </w:r>
    </w:p>
    <w:p>
      <w:pPr>
        <w:spacing w:line="440" w:lineRule="exact"/>
        <w:jc w:val="center"/>
        <w:rPr>
          <w:rFonts w:ascii="宋体" w:hAnsi="宋体"/>
          <w:b/>
          <w:sz w:val="28"/>
          <w:szCs w:val="28"/>
        </w:rPr>
      </w:pPr>
      <w:r>
        <w:rPr>
          <w:rFonts w:hint="eastAsia" w:ascii="宋体" w:hAnsi="宋体"/>
          <w:b/>
          <w:sz w:val="28"/>
          <w:szCs w:val="28"/>
        </w:rPr>
        <w:t>最终承包报价书</w:t>
      </w:r>
    </w:p>
    <w:p>
      <w:pPr>
        <w:tabs>
          <w:tab w:val="left" w:pos="1663"/>
        </w:tabs>
        <w:autoSpaceDE w:val="0"/>
        <w:autoSpaceDN w:val="0"/>
        <w:ind w:left="96"/>
        <w:jc w:val="center"/>
        <w:outlineLvl w:val="3"/>
        <w:rPr>
          <w:rFonts w:ascii="宋体" w:hAnsi="宋体" w:cs="宋体"/>
          <w:sz w:val="24"/>
          <w:szCs w:val="24"/>
          <w:lang w:val="zh-CN" w:bidi="zh-CN"/>
        </w:rPr>
      </w:pPr>
      <w:r>
        <w:rPr>
          <w:rFonts w:ascii="宋体" w:hAnsi="宋体" w:cs="宋体"/>
          <w:sz w:val="24"/>
          <w:szCs w:val="24"/>
          <w:lang w:val="zh-CN" w:bidi="zh-CN"/>
        </w:rPr>
        <w:t>（某项目第</w:t>
      </w:r>
      <w:r>
        <w:rPr>
          <w:rFonts w:ascii="宋体" w:hAnsi="宋体" w:cs="宋体"/>
          <w:sz w:val="24"/>
          <w:szCs w:val="24"/>
          <w:u w:val="single"/>
          <w:lang w:val="zh-CN" w:bidi="zh-CN"/>
        </w:rPr>
        <w:t xml:space="preserve"> </w:t>
      </w:r>
      <w:r>
        <w:rPr>
          <w:rFonts w:ascii="宋体" w:hAnsi="宋体" w:cs="宋体"/>
          <w:sz w:val="24"/>
          <w:szCs w:val="24"/>
          <w:u w:val="single"/>
          <w:lang w:val="zh-CN" w:bidi="zh-CN"/>
        </w:rPr>
        <w:tab/>
      </w:r>
      <w:r>
        <w:rPr>
          <w:rFonts w:ascii="宋体" w:hAnsi="宋体" w:cs="宋体"/>
          <w:sz w:val="24"/>
          <w:szCs w:val="24"/>
          <w:lang w:val="zh-CN" w:bidi="zh-CN"/>
        </w:rPr>
        <w:t>次报价书）</w:t>
      </w:r>
    </w:p>
    <w:p>
      <w:pPr>
        <w:autoSpaceDE w:val="0"/>
        <w:autoSpaceDN w:val="0"/>
        <w:spacing w:before="9"/>
        <w:jc w:val="left"/>
        <w:rPr>
          <w:rFonts w:ascii="宋体" w:hAnsi="宋体" w:cs="宋体"/>
          <w:b/>
          <w:sz w:val="12"/>
          <w:szCs w:val="24"/>
          <w:lang w:val="zh-CN" w:bidi="zh-CN"/>
        </w:rPr>
      </w:pPr>
    </w:p>
    <w:p>
      <w:pPr>
        <w:tabs>
          <w:tab w:val="left" w:pos="2992"/>
        </w:tabs>
        <w:autoSpaceDE w:val="0"/>
        <w:autoSpaceDN w:val="0"/>
        <w:spacing w:before="74" w:line="364" w:lineRule="auto"/>
        <w:ind w:left="220" w:right="5891"/>
        <w:jc w:val="left"/>
        <w:outlineLvl w:val="3"/>
        <w:rPr>
          <w:rFonts w:ascii="宋体" w:hAnsi="宋体" w:cs="宋体"/>
          <w:b/>
          <w:bCs/>
          <w:sz w:val="24"/>
          <w:szCs w:val="24"/>
          <w:u w:val="single"/>
          <w:lang w:val="zh-CN" w:bidi="zh-CN"/>
        </w:rPr>
      </w:pPr>
      <w:r>
        <w:rPr>
          <w:rFonts w:ascii="宋体" w:hAnsi="宋体" w:cs="宋体"/>
          <w:b/>
          <w:bCs/>
          <w:sz w:val="24"/>
          <w:szCs w:val="24"/>
          <w:lang w:val="zh-CN" w:bidi="zh-CN"/>
        </w:rPr>
        <w:t>项目名称：</w:t>
      </w:r>
      <w:r>
        <w:rPr>
          <w:rFonts w:ascii="宋体" w:hAnsi="宋体" w:cs="宋体"/>
          <w:b/>
          <w:bCs/>
          <w:spacing w:val="119"/>
          <w:sz w:val="24"/>
          <w:szCs w:val="24"/>
          <w:u w:val="single"/>
          <w:lang w:val="zh-CN" w:bidi="zh-CN"/>
        </w:rPr>
        <w:t xml:space="preserve"> </w:t>
      </w:r>
      <w:r>
        <w:rPr>
          <w:rFonts w:hint="eastAsia" w:ascii="宋体" w:hAnsi="宋体" w:cs="宋体"/>
          <w:b/>
          <w:bCs/>
          <w:sz w:val="24"/>
          <w:szCs w:val="24"/>
          <w:u w:val="single"/>
          <w:lang w:bidi="zh-CN"/>
        </w:rPr>
        <w:t xml:space="preserve">       </w:t>
      </w:r>
      <w:r>
        <w:rPr>
          <w:rFonts w:ascii="宋体" w:hAnsi="宋体" w:cs="宋体"/>
          <w:b/>
          <w:bCs/>
          <w:sz w:val="24"/>
          <w:szCs w:val="24"/>
          <w:u w:val="single"/>
          <w:lang w:val="zh-CN" w:bidi="zh-CN"/>
        </w:rPr>
        <w:tab/>
      </w:r>
    </w:p>
    <w:p>
      <w:pPr>
        <w:tabs>
          <w:tab w:val="left" w:pos="2992"/>
        </w:tabs>
        <w:autoSpaceDE w:val="0"/>
        <w:autoSpaceDN w:val="0"/>
        <w:spacing w:before="74" w:line="364" w:lineRule="auto"/>
        <w:ind w:left="220" w:right="5891"/>
        <w:jc w:val="left"/>
        <w:outlineLvl w:val="3"/>
        <w:rPr>
          <w:rFonts w:ascii="宋体" w:hAnsi="宋体" w:cs="宋体"/>
          <w:b/>
          <w:bCs/>
          <w:sz w:val="24"/>
          <w:szCs w:val="24"/>
          <w:lang w:val="zh-CN" w:bidi="zh-CN"/>
        </w:rPr>
      </w:pPr>
      <w:r>
        <w:rPr>
          <w:rFonts w:ascii="宋体" w:hAnsi="宋体" w:cs="宋体"/>
          <w:b/>
          <w:bCs/>
          <w:sz w:val="24"/>
          <w:szCs w:val="24"/>
          <w:lang w:val="zh-CN" w:bidi="zh-CN"/>
        </w:rPr>
        <w:t>项目编号：</w:t>
      </w:r>
      <w:r>
        <w:rPr>
          <w:rFonts w:ascii="宋体" w:hAnsi="宋体" w:cs="宋体"/>
          <w:b/>
          <w:bCs/>
          <w:spacing w:val="119"/>
          <w:sz w:val="24"/>
          <w:szCs w:val="24"/>
          <w:u w:val="single"/>
          <w:lang w:val="zh-CN" w:bidi="zh-CN"/>
        </w:rPr>
        <w:t xml:space="preserve"> </w:t>
      </w:r>
      <w:r>
        <w:rPr>
          <w:rFonts w:hint="eastAsia" w:ascii="宋体" w:hAnsi="宋体" w:cs="宋体"/>
          <w:b/>
          <w:bCs/>
          <w:sz w:val="24"/>
          <w:szCs w:val="24"/>
          <w:u w:val="single"/>
          <w:lang w:bidi="zh-CN"/>
        </w:rPr>
        <w:t xml:space="preserve">     </w:t>
      </w:r>
      <w:r>
        <w:rPr>
          <w:rFonts w:ascii="宋体" w:hAnsi="宋体" w:cs="宋体"/>
          <w:b/>
          <w:bCs/>
          <w:sz w:val="24"/>
          <w:szCs w:val="24"/>
          <w:u w:val="single"/>
          <w:lang w:val="zh-CN" w:bidi="zh-CN"/>
        </w:rPr>
        <w:tab/>
      </w:r>
    </w:p>
    <w:p>
      <w:pPr>
        <w:autoSpaceDE w:val="0"/>
        <w:autoSpaceDN w:val="0"/>
        <w:spacing w:before="1" w:after="1"/>
        <w:jc w:val="left"/>
        <w:rPr>
          <w:rFonts w:ascii="宋体" w:hAnsi="宋体" w:cs="宋体"/>
          <w:b/>
          <w:sz w:val="12"/>
          <w:szCs w:val="24"/>
          <w:lang w:val="zh-CN" w:bidi="zh-CN"/>
        </w:rPr>
      </w:pPr>
    </w:p>
    <w:tbl>
      <w:tblPr>
        <w:tblStyle w:val="37"/>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tcPr>
          <w:p>
            <w:pPr>
              <w:autoSpaceDE w:val="0"/>
              <w:autoSpaceDN w:val="0"/>
              <w:spacing w:before="177"/>
              <w:ind w:left="243" w:right="238"/>
              <w:jc w:val="center"/>
              <w:rPr>
                <w:rFonts w:ascii="宋体" w:hAnsi="宋体" w:cs="宋体"/>
                <w:b/>
                <w:sz w:val="24"/>
                <w:szCs w:val="22"/>
                <w:lang w:val="zh-CN" w:bidi="zh-CN"/>
              </w:rPr>
            </w:pPr>
            <w:r>
              <w:rPr>
                <w:rFonts w:ascii="宋体" w:hAnsi="宋体" w:cs="宋体"/>
                <w:b/>
                <w:sz w:val="24"/>
                <w:szCs w:val="22"/>
                <w:lang w:val="zh-CN" w:bidi="zh-CN"/>
              </w:rPr>
              <w:t>供应商名称</w:t>
            </w:r>
          </w:p>
        </w:tc>
        <w:tc>
          <w:tcPr>
            <w:tcW w:w="6064" w:type="dxa"/>
          </w:tcPr>
          <w:p>
            <w:pPr>
              <w:autoSpaceDE w:val="0"/>
              <w:autoSpaceDN w:val="0"/>
              <w:jc w:val="left"/>
              <w:rPr>
                <w:rFonts w:hAnsi="宋体" w:cs="宋体"/>
                <w:sz w:val="22"/>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Pr>
          <w:p>
            <w:pPr>
              <w:autoSpaceDE w:val="0"/>
              <w:autoSpaceDN w:val="0"/>
              <w:spacing w:before="11"/>
              <w:jc w:val="left"/>
              <w:rPr>
                <w:rFonts w:ascii="宋体" w:hAnsi="宋体" w:cs="宋体"/>
                <w:b/>
                <w:sz w:val="19"/>
                <w:szCs w:val="22"/>
                <w:lang w:val="zh-CN" w:bidi="zh-CN"/>
              </w:rPr>
            </w:pPr>
          </w:p>
          <w:p>
            <w:pPr>
              <w:autoSpaceDE w:val="0"/>
              <w:autoSpaceDN w:val="0"/>
              <w:ind w:left="245" w:right="237"/>
              <w:jc w:val="center"/>
              <w:rPr>
                <w:rFonts w:ascii="宋体" w:hAnsi="宋体" w:cs="宋体"/>
                <w:b/>
                <w:sz w:val="24"/>
                <w:szCs w:val="22"/>
                <w:lang w:val="zh-CN" w:bidi="zh-CN"/>
              </w:rPr>
            </w:pPr>
            <w:r>
              <w:rPr>
                <w:rFonts w:hint="eastAsia" w:ascii="宋体" w:hAnsi="宋体" w:cs="宋体"/>
                <w:b/>
                <w:sz w:val="24"/>
                <w:szCs w:val="22"/>
                <w:lang w:val="zh-CN" w:bidi="zh-CN"/>
              </w:rPr>
              <w:t>磋商</w:t>
            </w:r>
            <w:r>
              <w:rPr>
                <w:rFonts w:ascii="宋体" w:hAnsi="宋体" w:cs="宋体"/>
                <w:b/>
                <w:sz w:val="24"/>
                <w:szCs w:val="22"/>
                <w:lang w:val="zh-CN" w:bidi="zh-CN"/>
              </w:rPr>
              <w:t>范围</w:t>
            </w:r>
          </w:p>
        </w:tc>
        <w:tc>
          <w:tcPr>
            <w:tcW w:w="6064" w:type="dxa"/>
          </w:tcPr>
          <w:p>
            <w:pPr>
              <w:autoSpaceDE w:val="0"/>
              <w:autoSpaceDN w:val="0"/>
              <w:spacing w:before="11"/>
              <w:jc w:val="left"/>
              <w:rPr>
                <w:rFonts w:ascii="宋体" w:hAnsi="宋体" w:cs="宋体"/>
                <w:b/>
                <w:sz w:val="19"/>
                <w:szCs w:val="22"/>
                <w:lang w:val="zh-CN" w:bidi="zh-CN"/>
              </w:rPr>
            </w:pPr>
          </w:p>
          <w:p>
            <w:pPr>
              <w:tabs>
                <w:tab w:val="left" w:pos="1547"/>
              </w:tabs>
              <w:autoSpaceDE w:val="0"/>
              <w:autoSpaceDN w:val="0"/>
              <w:ind w:left="107"/>
              <w:jc w:val="left"/>
              <w:rPr>
                <w:rFonts w:ascii="宋体" w:hAnsi="宋体" w:cs="宋体"/>
                <w:sz w:val="24"/>
                <w:szCs w:val="22"/>
                <w:lang w:val="zh-CN" w:bidi="zh-CN"/>
              </w:rPr>
            </w:pPr>
            <w:r>
              <w:rPr>
                <w:rFonts w:ascii="宋体" w:hAnsi="宋体" w:cs="宋体"/>
                <w:sz w:val="24"/>
                <w:szCs w:val="22"/>
                <w:lang w:val="zh-CN" w:bidi="zh-CN"/>
              </w:rPr>
              <w:t>全部 / 第</w:t>
            </w:r>
            <w:r>
              <w:rPr>
                <w:rFonts w:ascii="宋体" w:hAnsi="宋体" w:cs="宋体"/>
                <w:sz w:val="24"/>
                <w:szCs w:val="22"/>
                <w:u w:val="single"/>
                <w:lang w:val="zh-CN" w:bidi="zh-CN"/>
              </w:rPr>
              <w:t xml:space="preserve"> </w:t>
            </w:r>
            <w:r>
              <w:rPr>
                <w:rFonts w:ascii="宋体" w:hAnsi="宋体" w:cs="宋体"/>
                <w:sz w:val="24"/>
                <w:szCs w:val="22"/>
                <w:u w:val="single"/>
                <w:lang w:val="zh-CN" w:bidi="zh-CN"/>
              </w:rPr>
              <w:tab/>
            </w:r>
            <w:r>
              <w:rPr>
                <w:rFonts w:ascii="宋体" w:hAnsi="宋体" w:cs="宋体"/>
                <w:sz w:val="24"/>
                <w:szCs w:val="22"/>
                <w:lang w:val="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tcPr>
          <w:p>
            <w:pPr>
              <w:autoSpaceDE w:val="0"/>
              <w:autoSpaceDN w:val="0"/>
              <w:spacing w:before="7"/>
              <w:jc w:val="left"/>
              <w:rPr>
                <w:rFonts w:ascii="宋体" w:hAnsi="宋体" w:cs="宋体"/>
                <w:b/>
                <w:sz w:val="35"/>
                <w:szCs w:val="22"/>
                <w:lang w:val="zh-CN" w:bidi="zh-CN"/>
              </w:rPr>
            </w:pPr>
          </w:p>
          <w:p>
            <w:pPr>
              <w:autoSpaceDE w:val="0"/>
              <w:autoSpaceDN w:val="0"/>
              <w:ind w:left="243" w:right="238"/>
              <w:jc w:val="center"/>
              <w:rPr>
                <w:rFonts w:ascii="宋体" w:hAnsi="宋体" w:cs="宋体"/>
                <w:b/>
                <w:sz w:val="24"/>
                <w:szCs w:val="22"/>
                <w:lang w:val="zh-CN" w:bidi="zh-CN"/>
              </w:rPr>
            </w:pPr>
            <w:r>
              <w:rPr>
                <w:rFonts w:ascii="宋体" w:hAnsi="宋体" w:cs="宋体"/>
                <w:b/>
                <w:sz w:val="24"/>
                <w:szCs w:val="22"/>
                <w:lang w:val="zh-CN" w:bidi="zh-CN"/>
              </w:rPr>
              <w:t>最后报价</w:t>
            </w:r>
          </w:p>
          <w:p>
            <w:pPr>
              <w:autoSpaceDE w:val="0"/>
              <w:autoSpaceDN w:val="0"/>
              <w:spacing w:before="161"/>
              <w:ind w:left="245" w:right="238"/>
              <w:jc w:val="center"/>
              <w:rPr>
                <w:rFonts w:ascii="宋体" w:hAnsi="宋体" w:cs="宋体"/>
                <w:b/>
                <w:sz w:val="24"/>
                <w:szCs w:val="22"/>
                <w:lang w:val="zh-CN" w:bidi="zh-CN"/>
              </w:rPr>
            </w:pPr>
            <w:r>
              <w:rPr>
                <w:rFonts w:ascii="宋体" w:hAnsi="宋体" w:cs="宋体"/>
                <w:b/>
                <w:sz w:val="24"/>
                <w:szCs w:val="22"/>
                <w:lang w:val="zh-CN" w:bidi="zh-CN"/>
              </w:rPr>
              <w:t>（详见备注说明）</w:t>
            </w:r>
          </w:p>
        </w:tc>
        <w:tc>
          <w:tcPr>
            <w:tcW w:w="6064" w:type="dxa"/>
          </w:tcPr>
          <w:p>
            <w:pPr>
              <w:autoSpaceDE w:val="0"/>
              <w:autoSpaceDN w:val="0"/>
              <w:spacing w:before="9"/>
              <w:jc w:val="left"/>
              <w:rPr>
                <w:rFonts w:ascii="宋体" w:hAnsi="宋体" w:cs="宋体"/>
                <w:b/>
                <w:szCs w:val="22"/>
                <w:lang w:val="zh-CN" w:bidi="zh-CN"/>
              </w:rPr>
            </w:pPr>
          </w:p>
          <w:p>
            <w:pPr>
              <w:spacing w:line="560" w:lineRule="exact"/>
              <w:rPr>
                <w:rFonts w:ascii="Calibri" w:hAnsi="Calibri"/>
                <w:sz w:val="24"/>
                <w:szCs w:val="24"/>
              </w:rPr>
            </w:pPr>
            <w:r>
              <w:rPr>
                <w:rFonts w:hint="eastAsia" w:ascii="宋体" w:hAnsi="宋体" w:cs="宋体"/>
                <w:sz w:val="24"/>
                <w:szCs w:val="24"/>
              </w:rPr>
              <w:t>大写：</w:t>
            </w:r>
            <w:r>
              <w:rPr>
                <w:rFonts w:hint="eastAsia" w:hAnsi="宋体" w:cs="宋体"/>
                <w:sz w:val="24"/>
                <w:szCs w:val="24"/>
                <w:shd w:val="clear" w:color="auto" w:fill="FFFFFF"/>
              </w:rPr>
              <w:t>批复中监理费用的</w:t>
            </w:r>
            <w:r>
              <w:rPr>
                <w:rFonts w:hint="eastAsia" w:ascii="宋体" w:hAnsi="宋体" w:cs="宋体"/>
                <w:bCs/>
                <w:sz w:val="24"/>
              </w:rPr>
              <w:t>________</w:t>
            </w:r>
            <w:r>
              <w:rPr>
                <w:rFonts w:hint="eastAsia" w:ascii="宋体" w:hAnsi="宋体" w:cs="宋体"/>
                <w:sz w:val="24"/>
                <w:szCs w:val="24"/>
              </w:rPr>
              <w:t xml:space="preserve">（四舍五入保留至小数点后两位） </w:t>
            </w:r>
          </w:p>
          <w:p>
            <w:pPr>
              <w:tabs>
                <w:tab w:val="left" w:pos="4482"/>
              </w:tabs>
              <w:autoSpaceDE w:val="0"/>
              <w:autoSpaceDN w:val="0"/>
              <w:ind w:left="107"/>
              <w:jc w:val="left"/>
              <w:rPr>
                <w:rFonts w:hint="default" w:hAnsi="宋体" w:eastAsia="Times New Roman" w:cs="宋体"/>
                <w:sz w:val="24"/>
                <w:szCs w:val="22"/>
                <w:lang w:val="en-US" w:bidi="zh-CN"/>
              </w:rPr>
            </w:pPr>
            <w:r>
              <w:rPr>
                <w:rFonts w:hint="eastAsia" w:ascii="宋体" w:hAnsi="宋体" w:cs="宋体"/>
                <w:bCs/>
                <w:sz w:val="24"/>
              </w:rPr>
              <w:t>小写：</w:t>
            </w:r>
            <w:r>
              <w:rPr>
                <w:rFonts w:hint="eastAsia" w:hAnsi="宋体" w:cs="宋体"/>
                <w:sz w:val="24"/>
                <w:szCs w:val="24"/>
                <w:shd w:val="clear" w:color="auto" w:fill="FFFFFF"/>
              </w:rPr>
              <w:t>批复中监理费用的</w:t>
            </w:r>
            <w:r>
              <w:rPr>
                <w:rFonts w:hint="eastAsia" w:ascii="宋体" w:hAnsi="宋体" w:cs="宋体"/>
                <w:bCs/>
                <w:sz w:val="24"/>
              </w:rPr>
              <w:t>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tcPr>
          <w:p>
            <w:pPr>
              <w:autoSpaceDE w:val="0"/>
              <w:autoSpaceDN w:val="0"/>
              <w:jc w:val="left"/>
              <w:rPr>
                <w:rFonts w:ascii="宋体" w:hAnsi="宋体" w:cs="宋体"/>
                <w:b/>
                <w:sz w:val="24"/>
                <w:szCs w:val="22"/>
                <w:lang w:val="zh-CN" w:bidi="zh-CN"/>
              </w:rPr>
            </w:pPr>
          </w:p>
          <w:p>
            <w:pPr>
              <w:autoSpaceDE w:val="0"/>
              <w:autoSpaceDN w:val="0"/>
              <w:jc w:val="left"/>
              <w:rPr>
                <w:rFonts w:ascii="宋体" w:hAnsi="宋体" w:cs="宋体"/>
                <w:b/>
                <w:sz w:val="24"/>
                <w:szCs w:val="22"/>
                <w:lang w:val="zh-CN" w:bidi="zh-CN"/>
              </w:rPr>
            </w:pPr>
          </w:p>
          <w:p>
            <w:pPr>
              <w:autoSpaceDE w:val="0"/>
              <w:autoSpaceDN w:val="0"/>
              <w:spacing w:before="10"/>
              <w:jc w:val="left"/>
              <w:rPr>
                <w:rFonts w:ascii="宋体" w:hAnsi="宋体" w:cs="宋体"/>
                <w:b/>
                <w:sz w:val="28"/>
                <w:szCs w:val="22"/>
                <w:lang w:val="zh-CN" w:bidi="zh-CN"/>
              </w:rPr>
            </w:pPr>
          </w:p>
          <w:p>
            <w:pPr>
              <w:autoSpaceDE w:val="0"/>
              <w:autoSpaceDN w:val="0"/>
              <w:ind w:left="243" w:right="238"/>
              <w:jc w:val="center"/>
              <w:rPr>
                <w:rFonts w:ascii="宋体" w:hAnsi="宋体" w:cs="宋体"/>
                <w:b/>
                <w:sz w:val="24"/>
                <w:szCs w:val="22"/>
                <w:lang w:val="zh-CN" w:bidi="zh-CN"/>
              </w:rPr>
            </w:pPr>
            <w:r>
              <w:rPr>
                <w:rFonts w:ascii="宋体" w:hAnsi="宋体" w:cs="宋体"/>
                <w:b/>
                <w:sz w:val="24"/>
                <w:szCs w:val="22"/>
                <w:lang w:val="zh-CN" w:bidi="zh-CN"/>
              </w:rPr>
              <w:t>备注说明</w:t>
            </w:r>
          </w:p>
        </w:tc>
        <w:tc>
          <w:tcPr>
            <w:tcW w:w="6064" w:type="dxa"/>
          </w:tcPr>
          <w:p>
            <w:pPr>
              <w:autoSpaceDE w:val="0"/>
              <w:autoSpaceDN w:val="0"/>
              <w:jc w:val="left"/>
              <w:rPr>
                <w:rFonts w:hAnsi="宋体" w:cs="宋体"/>
                <w:sz w:val="22"/>
                <w:szCs w:val="22"/>
                <w:lang w:val="zh-CN" w:bidi="zh-CN"/>
              </w:rPr>
            </w:pPr>
          </w:p>
        </w:tc>
      </w:tr>
    </w:tbl>
    <w:p>
      <w:pPr>
        <w:autoSpaceDE w:val="0"/>
        <w:autoSpaceDN w:val="0"/>
        <w:spacing w:before="79"/>
        <w:ind w:left="4421"/>
        <w:jc w:val="left"/>
        <w:rPr>
          <w:rFonts w:ascii="宋体" w:hAnsi="宋体" w:cs="宋体"/>
          <w:sz w:val="24"/>
          <w:szCs w:val="24"/>
          <w:lang w:val="zh-CN" w:bidi="zh-CN"/>
        </w:rPr>
      </w:pPr>
      <w:r>
        <w:rPr>
          <w:rFonts w:ascii="宋体" w:hAnsi="宋体" w:cs="宋体"/>
          <w:sz w:val="24"/>
          <w:szCs w:val="24"/>
          <w:lang w:val="zh-CN" w:bidi="zh-CN"/>
        </w:rPr>
        <w:t>供应商公章或授权代表签字：</w:t>
      </w:r>
    </w:p>
    <w:p>
      <w:pPr>
        <w:tabs>
          <w:tab w:val="left" w:pos="5861"/>
          <w:tab w:val="left" w:pos="8556"/>
        </w:tabs>
        <w:autoSpaceDE w:val="0"/>
        <w:autoSpaceDN w:val="0"/>
        <w:spacing w:before="160"/>
        <w:ind w:left="4421"/>
        <w:jc w:val="left"/>
        <w:rPr>
          <w:rFonts w:hAnsi="宋体" w:eastAsia="Times New Roman" w:cs="宋体"/>
          <w:sz w:val="24"/>
          <w:szCs w:val="24"/>
          <w:lang w:val="zh-CN" w:bidi="zh-CN"/>
        </w:rPr>
      </w:pPr>
      <w:r>
        <w:rPr>
          <w:rFonts w:ascii="宋体" w:hAnsi="宋体" w:cs="宋体"/>
          <w:sz w:val="24"/>
          <w:szCs w:val="24"/>
          <w:lang w:val="zh-CN" w:bidi="zh-CN"/>
        </w:rPr>
        <w:t>日</w:t>
      </w:r>
      <w:r>
        <w:rPr>
          <w:rFonts w:ascii="宋体" w:hAnsi="宋体" w:cs="宋体"/>
          <w:sz w:val="24"/>
          <w:szCs w:val="24"/>
          <w:lang w:val="zh-CN" w:bidi="zh-CN"/>
        </w:rPr>
        <w:tab/>
      </w:r>
      <w:r>
        <w:rPr>
          <w:rFonts w:ascii="宋体" w:hAnsi="宋体" w:cs="宋体"/>
          <w:sz w:val="24"/>
          <w:szCs w:val="24"/>
          <w:lang w:val="zh-CN" w:bidi="zh-CN"/>
        </w:rPr>
        <w:t>期：</w:t>
      </w:r>
      <w:r>
        <w:rPr>
          <w:rFonts w:hAnsi="宋体" w:eastAsia="Times New Roman" w:cs="宋体"/>
          <w:sz w:val="24"/>
          <w:szCs w:val="24"/>
          <w:u w:val="single"/>
          <w:lang w:val="zh-CN" w:bidi="zh-CN"/>
        </w:rPr>
        <w:t xml:space="preserve"> </w:t>
      </w:r>
      <w:r>
        <w:rPr>
          <w:rFonts w:hAnsi="宋体" w:eastAsia="Times New Roman" w:cs="宋体"/>
          <w:sz w:val="24"/>
          <w:szCs w:val="24"/>
          <w:u w:val="single"/>
          <w:lang w:val="zh-CN" w:bidi="zh-CN"/>
        </w:rPr>
        <w:tab/>
      </w:r>
    </w:p>
    <w:p>
      <w:pPr>
        <w:pStyle w:val="35"/>
        <w:jc w:val="right"/>
        <w:rPr>
          <w:rFonts w:ascii="宋体" w:hAnsi="宋体" w:cs="宋体"/>
          <w:bCs/>
        </w:rPr>
      </w:pPr>
    </w:p>
    <w:p/>
    <w:p>
      <w:pPr>
        <w:spacing w:line="360" w:lineRule="auto"/>
        <w:rPr>
          <w:rFonts w:ascii="宋体" w:hAnsi="宋体" w:cs="宋体"/>
          <w:sz w:val="24"/>
          <w:szCs w:val="24"/>
        </w:rPr>
      </w:pPr>
      <w:r>
        <w:rPr>
          <w:rFonts w:hint="eastAsia" w:ascii="宋体" w:hAnsi="宋体" w:cs="宋体"/>
          <w:bCs/>
          <w:sz w:val="24"/>
          <w:szCs w:val="24"/>
        </w:rPr>
        <w:t xml:space="preserve">注： </w:t>
      </w:r>
      <w:r>
        <w:rPr>
          <w:rFonts w:hint="eastAsia" w:ascii="宋体" w:hAnsi="宋体" w:cs="宋体"/>
          <w:sz w:val="24"/>
          <w:szCs w:val="24"/>
        </w:rPr>
        <w:t xml:space="preserve">1、供应商的后一轮报价不得高于前一轮报价。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2、各供应商单独备足此表，用于现场报价时填写，请供应商自行准备多份，用于后续报价，切勿装订在响应文件中。 </w:t>
      </w:r>
    </w:p>
    <w:p>
      <w:pPr>
        <w:pStyle w:val="2"/>
      </w:pPr>
    </w:p>
    <w:sectPr>
      <w:headerReference r:id="rId5" w:type="default"/>
      <w:footerReference r:id="rId7" w:type="default"/>
      <w:headerReference r:id="rId6" w:type="even"/>
      <w:footerReference r:id="rId8"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4"/>
      </w:rPr>
    </w:pPr>
    <w:r>
      <w:rPr>
        <w:sz w:val="14"/>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025"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50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1"/>
      </w:rPr>
    </w:pPr>
    <w:r>
      <w:rPr>
        <w:rStyle w:val="41"/>
      </w:rPr>
      <w:fldChar w:fldCharType="begin"/>
    </w:r>
    <w:r>
      <w:rPr>
        <w:rStyle w:val="41"/>
      </w:rPr>
      <w:instrText xml:space="preserve">PAGE  </w:instrText>
    </w:r>
    <w:r>
      <w:rPr>
        <w:rStyle w:val="41"/>
      </w:rP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1"/>
      </w:rPr>
    </w:pPr>
    <w:r>
      <w:rPr>
        <w:rStyle w:val="41"/>
      </w:rPr>
      <w:fldChar w:fldCharType="begin"/>
    </w:r>
    <w:r>
      <w:rPr>
        <w:rStyle w:val="41"/>
      </w:rPr>
      <w:instrText xml:space="preserve">PAGE  </w:instrText>
    </w:r>
    <w:r>
      <w:rPr>
        <w:rStyle w:val="41"/>
      </w:rPr>
      <w:fldChar w:fldCharType="end"/>
    </w:r>
  </w:p>
  <w:p>
    <w:pPr>
      <w:pStyle w:val="2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1216"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44" w:hanging="529"/>
      </w:pPr>
      <w:rPr>
        <w:rFonts w:hint="default"/>
        <w:lang w:val="zh-CN" w:eastAsia="zh-CN" w:bidi="zh-CN"/>
      </w:rPr>
    </w:lvl>
    <w:lvl w:ilvl="2" w:tentative="0">
      <w:start w:val="0"/>
      <w:numFmt w:val="bullet"/>
      <w:lvlText w:val="•"/>
      <w:lvlJc w:val="left"/>
      <w:pPr>
        <w:ind w:left="3069" w:hanging="529"/>
      </w:pPr>
      <w:rPr>
        <w:rFonts w:hint="default"/>
        <w:lang w:val="zh-CN" w:eastAsia="zh-CN" w:bidi="zh-CN"/>
      </w:rPr>
    </w:lvl>
    <w:lvl w:ilvl="3" w:tentative="0">
      <w:start w:val="0"/>
      <w:numFmt w:val="bullet"/>
      <w:lvlText w:val="•"/>
      <w:lvlJc w:val="left"/>
      <w:pPr>
        <w:ind w:left="3993" w:hanging="529"/>
      </w:pPr>
      <w:rPr>
        <w:rFonts w:hint="default"/>
        <w:lang w:val="zh-CN" w:eastAsia="zh-CN" w:bidi="zh-CN"/>
      </w:rPr>
    </w:lvl>
    <w:lvl w:ilvl="4" w:tentative="0">
      <w:start w:val="0"/>
      <w:numFmt w:val="bullet"/>
      <w:lvlText w:val="•"/>
      <w:lvlJc w:val="left"/>
      <w:pPr>
        <w:ind w:left="4918" w:hanging="529"/>
      </w:pPr>
      <w:rPr>
        <w:rFonts w:hint="default"/>
        <w:lang w:val="zh-CN" w:eastAsia="zh-CN" w:bidi="zh-CN"/>
      </w:rPr>
    </w:lvl>
    <w:lvl w:ilvl="5" w:tentative="0">
      <w:start w:val="0"/>
      <w:numFmt w:val="bullet"/>
      <w:lvlText w:val="•"/>
      <w:lvlJc w:val="left"/>
      <w:pPr>
        <w:ind w:left="5843" w:hanging="529"/>
      </w:pPr>
      <w:rPr>
        <w:rFonts w:hint="default"/>
        <w:lang w:val="zh-CN" w:eastAsia="zh-CN" w:bidi="zh-CN"/>
      </w:rPr>
    </w:lvl>
    <w:lvl w:ilvl="6" w:tentative="0">
      <w:start w:val="0"/>
      <w:numFmt w:val="bullet"/>
      <w:lvlText w:val="•"/>
      <w:lvlJc w:val="left"/>
      <w:pPr>
        <w:ind w:left="6767" w:hanging="529"/>
      </w:pPr>
      <w:rPr>
        <w:rFonts w:hint="default"/>
        <w:lang w:val="zh-CN" w:eastAsia="zh-CN" w:bidi="zh-CN"/>
      </w:rPr>
    </w:lvl>
    <w:lvl w:ilvl="7" w:tentative="0">
      <w:start w:val="0"/>
      <w:numFmt w:val="bullet"/>
      <w:lvlText w:val="•"/>
      <w:lvlJc w:val="left"/>
      <w:pPr>
        <w:ind w:left="7692" w:hanging="529"/>
      </w:pPr>
      <w:rPr>
        <w:rFonts w:hint="default"/>
        <w:lang w:val="zh-CN" w:eastAsia="zh-CN" w:bidi="zh-CN"/>
      </w:rPr>
    </w:lvl>
    <w:lvl w:ilvl="8" w:tentative="0">
      <w:start w:val="0"/>
      <w:numFmt w:val="bullet"/>
      <w:lvlText w:val="•"/>
      <w:lvlJc w:val="left"/>
      <w:pPr>
        <w:ind w:left="8617" w:hanging="529"/>
      </w:pPr>
      <w:rPr>
        <w:rFonts w:hint="default"/>
        <w:lang w:val="zh-CN" w:eastAsia="zh-CN" w:bidi="zh-CN"/>
      </w:rPr>
    </w:lvl>
  </w:abstractNum>
  <w:abstractNum w:abstractNumId="1">
    <w:nsid w:val="91B69C97"/>
    <w:multiLevelType w:val="multilevel"/>
    <w:tmpl w:val="91B69C97"/>
    <w:lvl w:ilvl="0" w:tentative="0">
      <w:start w:val="1"/>
      <w:numFmt w:val="decimal"/>
      <w:lvlText w:val="（%1）"/>
      <w:lvlJc w:val="left"/>
      <w:pPr>
        <w:ind w:left="118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08" w:hanging="529"/>
      </w:pPr>
      <w:rPr>
        <w:rFonts w:hint="default"/>
        <w:lang w:val="zh-CN" w:eastAsia="zh-CN" w:bidi="zh-CN"/>
      </w:rPr>
    </w:lvl>
    <w:lvl w:ilvl="2" w:tentative="0">
      <w:start w:val="0"/>
      <w:numFmt w:val="bullet"/>
      <w:lvlText w:val="•"/>
      <w:lvlJc w:val="left"/>
      <w:pPr>
        <w:ind w:left="3037" w:hanging="529"/>
      </w:pPr>
      <w:rPr>
        <w:rFonts w:hint="default"/>
        <w:lang w:val="zh-CN" w:eastAsia="zh-CN" w:bidi="zh-CN"/>
      </w:rPr>
    </w:lvl>
    <w:lvl w:ilvl="3" w:tentative="0">
      <w:start w:val="0"/>
      <w:numFmt w:val="bullet"/>
      <w:lvlText w:val="•"/>
      <w:lvlJc w:val="left"/>
      <w:pPr>
        <w:ind w:left="3965" w:hanging="529"/>
      </w:pPr>
      <w:rPr>
        <w:rFonts w:hint="default"/>
        <w:lang w:val="zh-CN" w:eastAsia="zh-CN" w:bidi="zh-CN"/>
      </w:rPr>
    </w:lvl>
    <w:lvl w:ilvl="4" w:tentative="0">
      <w:start w:val="0"/>
      <w:numFmt w:val="bullet"/>
      <w:lvlText w:val="•"/>
      <w:lvlJc w:val="left"/>
      <w:pPr>
        <w:ind w:left="4894" w:hanging="529"/>
      </w:pPr>
      <w:rPr>
        <w:rFonts w:hint="default"/>
        <w:lang w:val="zh-CN" w:eastAsia="zh-CN" w:bidi="zh-CN"/>
      </w:rPr>
    </w:lvl>
    <w:lvl w:ilvl="5" w:tentative="0">
      <w:start w:val="0"/>
      <w:numFmt w:val="bullet"/>
      <w:lvlText w:val="•"/>
      <w:lvlJc w:val="left"/>
      <w:pPr>
        <w:ind w:left="5823" w:hanging="529"/>
      </w:pPr>
      <w:rPr>
        <w:rFonts w:hint="default"/>
        <w:lang w:val="zh-CN" w:eastAsia="zh-CN" w:bidi="zh-CN"/>
      </w:rPr>
    </w:lvl>
    <w:lvl w:ilvl="6" w:tentative="0">
      <w:start w:val="0"/>
      <w:numFmt w:val="bullet"/>
      <w:lvlText w:val="•"/>
      <w:lvlJc w:val="left"/>
      <w:pPr>
        <w:ind w:left="6751" w:hanging="529"/>
      </w:pPr>
      <w:rPr>
        <w:rFonts w:hint="default"/>
        <w:lang w:val="zh-CN" w:eastAsia="zh-CN" w:bidi="zh-CN"/>
      </w:rPr>
    </w:lvl>
    <w:lvl w:ilvl="7" w:tentative="0">
      <w:start w:val="0"/>
      <w:numFmt w:val="bullet"/>
      <w:lvlText w:val="•"/>
      <w:lvlJc w:val="left"/>
      <w:pPr>
        <w:ind w:left="7680" w:hanging="529"/>
      </w:pPr>
      <w:rPr>
        <w:rFonts w:hint="default"/>
        <w:lang w:val="zh-CN" w:eastAsia="zh-CN" w:bidi="zh-CN"/>
      </w:rPr>
    </w:lvl>
    <w:lvl w:ilvl="8" w:tentative="0">
      <w:start w:val="0"/>
      <w:numFmt w:val="bullet"/>
      <w:lvlText w:val="•"/>
      <w:lvlJc w:val="left"/>
      <w:pPr>
        <w:ind w:left="8609" w:hanging="529"/>
      </w:pPr>
      <w:rPr>
        <w:rFonts w:hint="default"/>
        <w:lang w:val="zh-CN" w:eastAsia="zh-CN" w:bidi="zh-CN"/>
      </w:rPr>
    </w:lvl>
  </w:abstractNum>
  <w:abstractNum w:abstractNumId="2">
    <w:nsid w:val="9377BC45"/>
    <w:multiLevelType w:val="multilevel"/>
    <w:tmpl w:val="9377BC45"/>
    <w:lvl w:ilvl="0" w:tentative="0">
      <w:start w:val="1"/>
      <w:numFmt w:val="decimal"/>
      <w:lvlText w:val="（%1）"/>
      <w:lvlJc w:val="left"/>
      <w:pPr>
        <w:ind w:left="118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08" w:hanging="529"/>
      </w:pPr>
      <w:rPr>
        <w:rFonts w:hint="default"/>
        <w:lang w:val="zh-CN" w:eastAsia="zh-CN" w:bidi="zh-CN"/>
      </w:rPr>
    </w:lvl>
    <w:lvl w:ilvl="2" w:tentative="0">
      <w:start w:val="0"/>
      <w:numFmt w:val="bullet"/>
      <w:lvlText w:val="•"/>
      <w:lvlJc w:val="left"/>
      <w:pPr>
        <w:ind w:left="3037" w:hanging="529"/>
      </w:pPr>
      <w:rPr>
        <w:rFonts w:hint="default"/>
        <w:lang w:val="zh-CN" w:eastAsia="zh-CN" w:bidi="zh-CN"/>
      </w:rPr>
    </w:lvl>
    <w:lvl w:ilvl="3" w:tentative="0">
      <w:start w:val="0"/>
      <w:numFmt w:val="bullet"/>
      <w:lvlText w:val="•"/>
      <w:lvlJc w:val="left"/>
      <w:pPr>
        <w:ind w:left="3965" w:hanging="529"/>
      </w:pPr>
      <w:rPr>
        <w:rFonts w:hint="default"/>
        <w:lang w:val="zh-CN" w:eastAsia="zh-CN" w:bidi="zh-CN"/>
      </w:rPr>
    </w:lvl>
    <w:lvl w:ilvl="4" w:tentative="0">
      <w:start w:val="0"/>
      <w:numFmt w:val="bullet"/>
      <w:lvlText w:val="•"/>
      <w:lvlJc w:val="left"/>
      <w:pPr>
        <w:ind w:left="4894" w:hanging="529"/>
      </w:pPr>
      <w:rPr>
        <w:rFonts w:hint="default"/>
        <w:lang w:val="zh-CN" w:eastAsia="zh-CN" w:bidi="zh-CN"/>
      </w:rPr>
    </w:lvl>
    <w:lvl w:ilvl="5" w:tentative="0">
      <w:start w:val="0"/>
      <w:numFmt w:val="bullet"/>
      <w:lvlText w:val="•"/>
      <w:lvlJc w:val="left"/>
      <w:pPr>
        <w:ind w:left="5823" w:hanging="529"/>
      </w:pPr>
      <w:rPr>
        <w:rFonts w:hint="default"/>
        <w:lang w:val="zh-CN" w:eastAsia="zh-CN" w:bidi="zh-CN"/>
      </w:rPr>
    </w:lvl>
    <w:lvl w:ilvl="6" w:tentative="0">
      <w:start w:val="0"/>
      <w:numFmt w:val="bullet"/>
      <w:lvlText w:val="•"/>
      <w:lvlJc w:val="left"/>
      <w:pPr>
        <w:ind w:left="6751" w:hanging="529"/>
      </w:pPr>
      <w:rPr>
        <w:rFonts w:hint="default"/>
        <w:lang w:val="zh-CN" w:eastAsia="zh-CN" w:bidi="zh-CN"/>
      </w:rPr>
    </w:lvl>
    <w:lvl w:ilvl="7" w:tentative="0">
      <w:start w:val="0"/>
      <w:numFmt w:val="bullet"/>
      <w:lvlText w:val="•"/>
      <w:lvlJc w:val="left"/>
      <w:pPr>
        <w:ind w:left="7680" w:hanging="529"/>
      </w:pPr>
      <w:rPr>
        <w:rFonts w:hint="default"/>
        <w:lang w:val="zh-CN" w:eastAsia="zh-CN" w:bidi="zh-CN"/>
      </w:rPr>
    </w:lvl>
    <w:lvl w:ilvl="8" w:tentative="0">
      <w:start w:val="0"/>
      <w:numFmt w:val="bullet"/>
      <w:lvlText w:val="•"/>
      <w:lvlJc w:val="left"/>
      <w:pPr>
        <w:ind w:left="8609" w:hanging="529"/>
      </w:pPr>
      <w:rPr>
        <w:rFonts w:hint="default"/>
        <w:lang w:val="zh-CN" w:eastAsia="zh-CN" w:bidi="zh-CN"/>
      </w:rPr>
    </w:lvl>
  </w:abstractNum>
  <w:abstractNum w:abstractNumId="3">
    <w:nsid w:val="9ACF65A0"/>
    <w:multiLevelType w:val="multilevel"/>
    <w:tmpl w:val="9ACF65A0"/>
    <w:lvl w:ilvl="0" w:tentative="0">
      <w:start w:val="1"/>
      <w:numFmt w:val="decimal"/>
      <w:lvlText w:val="%1"/>
      <w:lvlJc w:val="left"/>
      <w:pPr>
        <w:ind w:left="238" w:hanging="635"/>
      </w:pPr>
      <w:rPr>
        <w:rFonts w:hint="default"/>
        <w:lang w:val="zh-CN" w:eastAsia="zh-CN" w:bidi="zh-CN"/>
      </w:rPr>
    </w:lvl>
    <w:lvl w:ilvl="1" w:tentative="0">
      <w:start w:val="12"/>
      <w:numFmt w:val="decimal"/>
      <w:lvlText w:val="%1.%2"/>
      <w:lvlJc w:val="left"/>
      <w:pPr>
        <w:ind w:left="238" w:hanging="635"/>
      </w:pPr>
      <w:rPr>
        <w:rFonts w:hint="default"/>
        <w:lang w:val="zh-CN" w:eastAsia="zh-CN" w:bidi="zh-CN"/>
      </w:rPr>
    </w:lvl>
    <w:lvl w:ilvl="2" w:tentative="0">
      <w:start w:val="1"/>
      <w:numFmt w:val="decimal"/>
      <w:lvlText w:val="%1.%2.%3"/>
      <w:lvlJc w:val="left"/>
      <w:pPr>
        <w:ind w:left="238" w:hanging="635"/>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307" w:hanging="635"/>
      </w:pPr>
      <w:rPr>
        <w:rFonts w:hint="default"/>
        <w:lang w:val="zh-CN" w:eastAsia="zh-CN" w:bidi="zh-CN"/>
      </w:rPr>
    </w:lvl>
    <w:lvl w:ilvl="4" w:tentative="0">
      <w:start w:val="0"/>
      <w:numFmt w:val="bullet"/>
      <w:lvlText w:val="•"/>
      <w:lvlJc w:val="left"/>
      <w:pPr>
        <w:ind w:left="4330" w:hanging="635"/>
      </w:pPr>
      <w:rPr>
        <w:rFonts w:hint="default"/>
        <w:lang w:val="zh-CN" w:eastAsia="zh-CN" w:bidi="zh-CN"/>
      </w:rPr>
    </w:lvl>
    <w:lvl w:ilvl="5" w:tentative="0">
      <w:start w:val="0"/>
      <w:numFmt w:val="bullet"/>
      <w:lvlText w:val="•"/>
      <w:lvlJc w:val="left"/>
      <w:pPr>
        <w:ind w:left="5353" w:hanging="635"/>
      </w:pPr>
      <w:rPr>
        <w:rFonts w:hint="default"/>
        <w:lang w:val="zh-CN" w:eastAsia="zh-CN" w:bidi="zh-CN"/>
      </w:rPr>
    </w:lvl>
    <w:lvl w:ilvl="6" w:tentative="0">
      <w:start w:val="0"/>
      <w:numFmt w:val="bullet"/>
      <w:lvlText w:val="•"/>
      <w:lvlJc w:val="left"/>
      <w:pPr>
        <w:ind w:left="6375" w:hanging="635"/>
      </w:pPr>
      <w:rPr>
        <w:rFonts w:hint="default"/>
        <w:lang w:val="zh-CN" w:eastAsia="zh-CN" w:bidi="zh-CN"/>
      </w:rPr>
    </w:lvl>
    <w:lvl w:ilvl="7" w:tentative="0">
      <w:start w:val="0"/>
      <w:numFmt w:val="bullet"/>
      <w:lvlText w:val="•"/>
      <w:lvlJc w:val="left"/>
      <w:pPr>
        <w:ind w:left="7398" w:hanging="635"/>
      </w:pPr>
      <w:rPr>
        <w:rFonts w:hint="default"/>
        <w:lang w:val="zh-CN" w:eastAsia="zh-CN" w:bidi="zh-CN"/>
      </w:rPr>
    </w:lvl>
    <w:lvl w:ilvl="8" w:tentative="0">
      <w:start w:val="0"/>
      <w:numFmt w:val="bullet"/>
      <w:lvlText w:val="•"/>
      <w:lvlJc w:val="left"/>
      <w:pPr>
        <w:ind w:left="8421" w:hanging="635"/>
      </w:pPr>
      <w:rPr>
        <w:rFonts w:hint="default"/>
        <w:lang w:val="zh-CN" w:eastAsia="zh-CN" w:bidi="zh-CN"/>
      </w:rPr>
    </w:lvl>
  </w:abstractNum>
  <w:abstractNum w:abstractNumId="4">
    <w:nsid w:val="9D5D7490"/>
    <w:multiLevelType w:val="multilevel"/>
    <w:tmpl w:val="9D5D7490"/>
    <w:lvl w:ilvl="0" w:tentative="0">
      <w:start w:val="1"/>
      <w:numFmt w:val="decimal"/>
      <w:lvlText w:val="（%1）"/>
      <w:lvlJc w:val="left"/>
      <w:pPr>
        <w:ind w:left="118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08" w:hanging="529"/>
      </w:pPr>
      <w:rPr>
        <w:rFonts w:hint="default"/>
        <w:lang w:val="zh-CN" w:eastAsia="zh-CN" w:bidi="zh-CN"/>
      </w:rPr>
    </w:lvl>
    <w:lvl w:ilvl="2" w:tentative="0">
      <w:start w:val="0"/>
      <w:numFmt w:val="bullet"/>
      <w:lvlText w:val="•"/>
      <w:lvlJc w:val="left"/>
      <w:pPr>
        <w:ind w:left="3037" w:hanging="529"/>
      </w:pPr>
      <w:rPr>
        <w:rFonts w:hint="default"/>
        <w:lang w:val="zh-CN" w:eastAsia="zh-CN" w:bidi="zh-CN"/>
      </w:rPr>
    </w:lvl>
    <w:lvl w:ilvl="3" w:tentative="0">
      <w:start w:val="0"/>
      <w:numFmt w:val="bullet"/>
      <w:lvlText w:val="•"/>
      <w:lvlJc w:val="left"/>
      <w:pPr>
        <w:ind w:left="3965" w:hanging="529"/>
      </w:pPr>
      <w:rPr>
        <w:rFonts w:hint="default"/>
        <w:lang w:val="zh-CN" w:eastAsia="zh-CN" w:bidi="zh-CN"/>
      </w:rPr>
    </w:lvl>
    <w:lvl w:ilvl="4" w:tentative="0">
      <w:start w:val="0"/>
      <w:numFmt w:val="bullet"/>
      <w:lvlText w:val="•"/>
      <w:lvlJc w:val="left"/>
      <w:pPr>
        <w:ind w:left="4894" w:hanging="529"/>
      </w:pPr>
      <w:rPr>
        <w:rFonts w:hint="default"/>
        <w:lang w:val="zh-CN" w:eastAsia="zh-CN" w:bidi="zh-CN"/>
      </w:rPr>
    </w:lvl>
    <w:lvl w:ilvl="5" w:tentative="0">
      <w:start w:val="0"/>
      <w:numFmt w:val="bullet"/>
      <w:lvlText w:val="•"/>
      <w:lvlJc w:val="left"/>
      <w:pPr>
        <w:ind w:left="5823" w:hanging="529"/>
      </w:pPr>
      <w:rPr>
        <w:rFonts w:hint="default"/>
        <w:lang w:val="zh-CN" w:eastAsia="zh-CN" w:bidi="zh-CN"/>
      </w:rPr>
    </w:lvl>
    <w:lvl w:ilvl="6" w:tentative="0">
      <w:start w:val="0"/>
      <w:numFmt w:val="bullet"/>
      <w:lvlText w:val="•"/>
      <w:lvlJc w:val="left"/>
      <w:pPr>
        <w:ind w:left="6751" w:hanging="529"/>
      </w:pPr>
      <w:rPr>
        <w:rFonts w:hint="default"/>
        <w:lang w:val="zh-CN" w:eastAsia="zh-CN" w:bidi="zh-CN"/>
      </w:rPr>
    </w:lvl>
    <w:lvl w:ilvl="7" w:tentative="0">
      <w:start w:val="0"/>
      <w:numFmt w:val="bullet"/>
      <w:lvlText w:val="•"/>
      <w:lvlJc w:val="left"/>
      <w:pPr>
        <w:ind w:left="7680" w:hanging="529"/>
      </w:pPr>
      <w:rPr>
        <w:rFonts w:hint="default"/>
        <w:lang w:val="zh-CN" w:eastAsia="zh-CN" w:bidi="zh-CN"/>
      </w:rPr>
    </w:lvl>
    <w:lvl w:ilvl="8" w:tentative="0">
      <w:start w:val="0"/>
      <w:numFmt w:val="bullet"/>
      <w:lvlText w:val="•"/>
      <w:lvlJc w:val="left"/>
      <w:pPr>
        <w:ind w:left="8609" w:hanging="529"/>
      </w:pPr>
      <w:rPr>
        <w:rFonts w:hint="default"/>
        <w:lang w:val="zh-CN" w:eastAsia="zh-CN" w:bidi="zh-CN"/>
      </w:rPr>
    </w:lvl>
  </w:abstractNum>
  <w:abstractNum w:abstractNumId="5">
    <w:nsid w:val="A0C93552"/>
    <w:multiLevelType w:val="multilevel"/>
    <w:tmpl w:val="A0C93552"/>
    <w:lvl w:ilvl="0" w:tentative="0">
      <w:start w:val="1"/>
      <w:numFmt w:val="decimal"/>
      <w:lvlText w:val="%1"/>
      <w:lvlJc w:val="left"/>
      <w:pPr>
        <w:ind w:left="238" w:hanging="738"/>
      </w:pPr>
      <w:rPr>
        <w:rFonts w:hint="default"/>
        <w:lang w:val="zh-CN" w:eastAsia="zh-CN" w:bidi="zh-CN"/>
      </w:rPr>
    </w:lvl>
    <w:lvl w:ilvl="1" w:tentative="0">
      <w:start w:val="1"/>
      <w:numFmt w:val="decimal"/>
      <w:lvlText w:val="%1.%2"/>
      <w:lvlJc w:val="left"/>
      <w:pPr>
        <w:ind w:left="238" w:hanging="738"/>
      </w:pPr>
      <w:rPr>
        <w:rFonts w:hint="default"/>
        <w:lang w:val="zh-CN" w:eastAsia="zh-CN" w:bidi="zh-CN"/>
      </w:rPr>
    </w:lvl>
    <w:lvl w:ilvl="2" w:tentative="0">
      <w:start w:val="1"/>
      <w:numFmt w:val="decimal"/>
      <w:lvlText w:val="%1.%2.%3"/>
      <w:lvlJc w:val="left"/>
      <w:pPr>
        <w:ind w:left="238" w:hanging="738"/>
      </w:pPr>
      <w:rPr>
        <w:rFonts w:hint="default"/>
        <w:lang w:val="zh-CN" w:eastAsia="zh-CN" w:bidi="zh-CN"/>
      </w:rPr>
    </w:lvl>
    <w:lvl w:ilvl="3" w:tentative="0">
      <w:start w:val="1"/>
      <w:numFmt w:val="decimal"/>
      <w:lvlText w:val="%1.%2.%3.%4"/>
      <w:lvlJc w:val="left"/>
      <w:pPr>
        <w:ind w:left="238" w:hanging="738"/>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4330" w:hanging="738"/>
      </w:pPr>
      <w:rPr>
        <w:rFonts w:hint="default"/>
        <w:lang w:val="zh-CN" w:eastAsia="zh-CN" w:bidi="zh-CN"/>
      </w:rPr>
    </w:lvl>
    <w:lvl w:ilvl="5" w:tentative="0">
      <w:start w:val="0"/>
      <w:numFmt w:val="bullet"/>
      <w:lvlText w:val="•"/>
      <w:lvlJc w:val="left"/>
      <w:pPr>
        <w:ind w:left="5353" w:hanging="738"/>
      </w:pPr>
      <w:rPr>
        <w:rFonts w:hint="default"/>
        <w:lang w:val="zh-CN" w:eastAsia="zh-CN" w:bidi="zh-CN"/>
      </w:rPr>
    </w:lvl>
    <w:lvl w:ilvl="6" w:tentative="0">
      <w:start w:val="0"/>
      <w:numFmt w:val="bullet"/>
      <w:lvlText w:val="•"/>
      <w:lvlJc w:val="left"/>
      <w:pPr>
        <w:ind w:left="6375" w:hanging="738"/>
      </w:pPr>
      <w:rPr>
        <w:rFonts w:hint="default"/>
        <w:lang w:val="zh-CN" w:eastAsia="zh-CN" w:bidi="zh-CN"/>
      </w:rPr>
    </w:lvl>
    <w:lvl w:ilvl="7" w:tentative="0">
      <w:start w:val="0"/>
      <w:numFmt w:val="bullet"/>
      <w:lvlText w:val="•"/>
      <w:lvlJc w:val="left"/>
      <w:pPr>
        <w:ind w:left="7398" w:hanging="738"/>
      </w:pPr>
      <w:rPr>
        <w:rFonts w:hint="default"/>
        <w:lang w:val="zh-CN" w:eastAsia="zh-CN" w:bidi="zh-CN"/>
      </w:rPr>
    </w:lvl>
    <w:lvl w:ilvl="8" w:tentative="0">
      <w:start w:val="0"/>
      <w:numFmt w:val="bullet"/>
      <w:lvlText w:val="•"/>
      <w:lvlJc w:val="left"/>
      <w:pPr>
        <w:ind w:left="8421" w:hanging="738"/>
      </w:pPr>
      <w:rPr>
        <w:rFonts w:hint="default"/>
        <w:lang w:val="zh-CN" w:eastAsia="zh-CN" w:bidi="zh-CN"/>
      </w:rPr>
    </w:lvl>
  </w:abstractNum>
  <w:abstractNum w:abstractNumId="6">
    <w:nsid w:val="AAF3F3FA"/>
    <w:multiLevelType w:val="multilevel"/>
    <w:tmpl w:val="AAF3F3FA"/>
    <w:lvl w:ilvl="0" w:tentative="0">
      <w:start w:val="1"/>
      <w:numFmt w:val="decimal"/>
      <w:lvlText w:val="（%1）"/>
      <w:lvlJc w:val="left"/>
      <w:pPr>
        <w:ind w:left="118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08" w:hanging="529"/>
      </w:pPr>
      <w:rPr>
        <w:rFonts w:hint="default"/>
        <w:lang w:val="zh-CN" w:eastAsia="zh-CN" w:bidi="zh-CN"/>
      </w:rPr>
    </w:lvl>
    <w:lvl w:ilvl="2" w:tentative="0">
      <w:start w:val="0"/>
      <w:numFmt w:val="bullet"/>
      <w:lvlText w:val="•"/>
      <w:lvlJc w:val="left"/>
      <w:pPr>
        <w:ind w:left="3037" w:hanging="529"/>
      </w:pPr>
      <w:rPr>
        <w:rFonts w:hint="default"/>
        <w:lang w:val="zh-CN" w:eastAsia="zh-CN" w:bidi="zh-CN"/>
      </w:rPr>
    </w:lvl>
    <w:lvl w:ilvl="3" w:tentative="0">
      <w:start w:val="0"/>
      <w:numFmt w:val="bullet"/>
      <w:lvlText w:val="•"/>
      <w:lvlJc w:val="left"/>
      <w:pPr>
        <w:ind w:left="3965" w:hanging="529"/>
      </w:pPr>
      <w:rPr>
        <w:rFonts w:hint="default"/>
        <w:lang w:val="zh-CN" w:eastAsia="zh-CN" w:bidi="zh-CN"/>
      </w:rPr>
    </w:lvl>
    <w:lvl w:ilvl="4" w:tentative="0">
      <w:start w:val="0"/>
      <w:numFmt w:val="bullet"/>
      <w:lvlText w:val="•"/>
      <w:lvlJc w:val="left"/>
      <w:pPr>
        <w:ind w:left="4894" w:hanging="529"/>
      </w:pPr>
      <w:rPr>
        <w:rFonts w:hint="default"/>
        <w:lang w:val="zh-CN" w:eastAsia="zh-CN" w:bidi="zh-CN"/>
      </w:rPr>
    </w:lvl>
    <w:lvl w:ilvl="5" w:tentative="0">
      <w:start w:val="0"/>
      <w:numFmt w:val="bullet"/>
      <w:lvlText w:val="•"/>
      <w:lvlJc w:val="left"/>
      <w:pPr>
        <w:ind w:left="5823" w:hanging="529"/>
      </w:pPr>
      <w:rPr>
        <w:rFonts w:hint="default"/>
        <w:lang w:val="zh-CN" w:eastAsia="zh-CN" w:bidi="zh-CN"/>
      </w:rPr>
    </w:lvl>
    <w:lvl w:ilvl="6" w:tentative="0">
      <w:start w:val="0"/>
      <w:numFmt w:val="bullet"/>
      <w:lvlText w:val="•"/>
      <w:lvlJc w:val="left"/>
      <w:pPr>
        <w:ind w:left="6751" w:hanging="529"/>
      </w:pPr>
      <w:rPr>
        <w:rFonts w:hint="default"/>
        <w:lang w:val="zh-CN" w:eastAsia="zh-CN" w:bidi="zh-CN"/>
      </w:rPr>
    </w:lvl>
    <w:lvl w:ilvl="7" w:tentative="0">
      <w:start w:val="0"/>
      <w:numFmt w:val="bullet"/>
      <w:lvlText w:val="•"/>
      <w:lvlJc w:val="left"/>
      <w:pPr>
        <w:ind w:left="7680" w:hanging="529"/>
      </w:pPr>
      <w:rPr>
        <w:rFonts w:hint="default"/>
        <w:lang w:val="zh-CN" w:eastAsia="zh-CN" w:bidi="zh-CN"/>
      </w:rPr>
    </w:lvl>
    <w:lvl w:ilvl="8" w:tentative="0">
      <w:start w:val="0"/>
      <w:numFmt w:val="bullet"/>
      <w:lvlText w:val="•"/>
      <w:lvlJc w:val="left"/>
      <w:pPr>
        <w:ind w:left="8609" w:hanging="529"/>
      </w:pPr>
      <w:rPr>
        <w:rFonts w:hint="default"/>
        <w:lang w:val="zh-CN" w:eastAsia="zh-CN" w:bidi="zh-CN"/>
      </w:rPr>
    </w:lvl>
  </w:abstractNum>
  <w:abstractNum w:abstractNumId="7">
    <w:nsid w:val="B0ED9BEA"/>
    <w:multiLevelType w:val="multilevel"/>
    <w:tmpl w:val="B0ED9BEA"/>
    <w:lvl w:ilvl="0" w:tentative="0">
      <w:start w:val="1"/>
      <w:numFmt w:val="decimal"/>
      <w:lvlText w:val="（%1）"/>
      <w:lvlJc w:val="left"/>
      <w:pPr>
        <w:ind w:left="118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08" w:hanging="529"/>
      </w:pPr>
      <w:rPr>
        <w:rFonts w:hint="default"/>
        <w:lang w:val="zh-CN" w:eastAsia="zh-CN" w:bidi="zh-CN"/>
      </w:rPr>
    </w:lvl>
    <w:lvl w:ilvl="2" w:tentative="0">
      <w:start w:val="0"/>
      <w:numFmt w:val="bullet"/>
      <w:lvlText w:val="•"/>
      <w:lvlJc w:val="left"/>
      <w:pPr>
        <w:ind w:left="3037" w:hanging="529"/>
      </w:pPr>
      <w:rPr>
        <w:rFonts w:hint="default"/>
        <w:lang w:val="zh-CN" w:eastAsia="zh-CN" w:bidi="zh-CN"/>
      </w:rPr>
    </w:lvl>
    <w:lvl w:ilvl="3" w:tentative="0">
      <w:start w:val="0"/>
      <w:numFmt w:val="bullet"/>
      <w:lvlText w:val="•"/>
      <w:lvlJc w:val="left"/>
      <w:pPr>
        <w:ind w:left="3965" w:hanging="529"/>
      </w:pPr>
      <w:rPr>
        <w:rFonts w:hint="default"/>
        <w:lang w:val="zh-CN" w:eastAsia="zh-CN" w:bidi="zh-CN"/>
      </w:rPr>
    </w:lvl>
    <w:lvl w:ilvl="4" w:tentative="0">
      <w:start w:val="0"/>
      <w:numFmt w:val="bullet"/>
      <w:lvlText w:val="•"/>
      <w:lvlJc w:val="left"/>
      <w:pPr>
        <w:ind w:left="4894" w:hanging="529"/>
      </w:pPr>
      <w:rPr>
        <w:rFonts w:hint="default"/>
        <w:lang w:val="zh-CN" w:eastAsia="zh-CN" w:bidi="zh-CN"/>
      </w:rPr>
    </w:lvl>
    <w:lvl w:ilvl="5" w:tentative="0">
      <w:start w:val="0"/>
      <w:numFmt w:val="bullet"/>
      <w:lvlText w:val="•"/>
      <w:lvlJc w:val="left"/>
      <w:pPr>
        <w:ind w:left="5823" w:hanging="529"/>
      </w:pPr>
      <w:rPr>
        <w:rFonts w:hint="default"/>
        <w:lang w:val="zh-CN" w:eastAsia="zh-CN" w:bidi="zh-CN"/>
      </w:rPr>
    </w:lvl>
    <w:lvl w:ilvl="6" w:tentative="0">
      <w:start w:val="0"/>
      <w:numFmt w:val="bullet"/>
      <w:lvlText w:val="•"/>
      <w:lvlJc w:val="left"/>
      <w:pPr>
        <w:ind w:left="6751" w:hanging="529"/>
      </w:pPr>
      <w:rPr>
        <w:rFonts w:hint="default"/>
        <w:lang w:val="zh-CN" w:eastAsia="zh-CN" w:bidi="zh-CN"/>
      </w:rPr>
    </w:lvl>
    <w:lvl w:ilvl="7" w:tentative="0">
      <w:start w:val="0"/>
      <w:numFmt w:val="bullet"/>
      <w:lvlText w:val="•"/>
      <w:lvlJc w:val="left"/>
      <w:pPr>
        <w:ind w:left="7680" w:hanging="529"/>
      </w:pPr>
      <w:rPr>
        <w:rFonts w:hint="default"/>
        <w:lang w:val="zh-CN" w:eastAsia="zh-CN" w:bidi="zh-CN"/>
      </w:rPr>
    </w:lvl>
    <w:lvl w:ilvl="8" w:tentative="0">
      <w:start w:val="0"/>
      <w:numFmt w:val="bullet"/>
      <w:lvlText w:val="•"/>
      <w:lvlJc w:val="left"/>
      <w:pPr>
        <w:ind w:left="8609" w:hanging="529"/>
      </w:pPr>
      <w:rPr>
        <w:rFonts w:hint="default"/>
        <w:lang w:val="zh-CN" w:eastAsia="zh-CN" w:bidi="zh-CN"/>
      </w:rPr>
    </w:lvl>
  </w:abstractNum>
  <w:abstractNum w:abstractNumId="8">
    <w:nsid w:val="B88D21A8"/>
    <w:multiLevelType w:val="multilevel"/>
    <w:tmpl w:val="B88D21A8"/>
    <w:lvl w:ilvl="0" w:tentative="0">
      <w:start w:val="1"/>
      <w:numFmt w:val="decimal"/>
      <w:lvlText w:val="%1"/>
      <w:lvlJc w:val="left"/>
      <w:pPr>
        <w:ind w:left="1187" w:hanging="529"/>
      </w:pPr>
      <w:rPr>
        <w:rFonts w:hint="default"/>
        <w:lang w:val="zh-CN" w:eastAsia="zh-CN" w:bidi="zh-CN"/>
      </w:rPr>
    </w:lvl>
    <w:lvl w:ilvl="1" w:tentative="0">
      <w:start w:val="6"/>
      <w:numFmt w:val="decimal"/>
      <w:lvlText w:val="%1.%2"/>
      <w:lvlJc w:val="left"/>
      <w:pPr>
        <w:ind w:left="1187" w:hanging="529"/>
      </w:pPr>
      <w:rPr>
        <w:rFonts w:hint="default"/>
        <w:lang w:val="zh-CN" w:eastAsia="zh-CN" w:bidi="zh-CN"/>
      </w:rPr>
    </w:lvl>
    <w:lvl w:ilvl="2" w:tentative="0">
      <w:start w:val="1"/>
      <w:numFmt w:val="decimal"/>
      <w:lvlText w:val="%1.%2.%3"/>
      <w:lvlJc w:val="left"/>
      <w:pPr>
        <w:ind w:left="1187" w:hanging="529"/>
      </w:pPr>
      <w:rPr>
        <w:rFonts w:hint="default" w:ascii="宋体" w:hAnsi="宋体" w:eastAsia="宋体" w:cs="宋体"/>
        <w:w w:val="100"/>
        <w:sz w:val="19"/>
        <w:szCs w:val="19"/>
        <w:lang w:val="zh-CN" w:eastAsia="zh-CN" w:bidi="zh-CN"/>
      </w:rPr>
    </w:lvl>
    <w:lvl w:ilvl="3" w:tentative="0">
      <w:start w:val="0"/>
      <w:numFmt w:val="bullet"/>
      <w:lvlText w:val="•"/>
      <w:lvlJc w:val="left"/>
      <w:pPr>
        <w:ind w:left="3965" w:hanging="529"/>
      </w:pPr>
      <w:rPr>
        <w:rFonts w:hint="default"/>
        <w:lang w:val="zh-CN" w:eastAsia="zh-CN" w:bidi="zh-CN"/>
      </w:rPr>
    </w:lvl>
    <w:lvl w:ilvl="4" w:tentative="0">
      <w:start w:val="0"/>
      <w:numFmt w:val="bullet"/>
      <w:lvlText w:val="•"/>
      <w:lvlJc w:val="left"/>
      <w:pPr>
        <w:ind w:left="4894" w:hanging="529"/>
      </w:pPr>
      <w:rPr>
        <w:rFonts w:hint="default"/>
        <w:lang w:val="zh-CN" w:eastAsia="zh-CN" w:bidi="zh-CN"/>
      </w:rPr>
    </w:lvl>
    <w:lvl w:ilvl="5" w:tentative="0">
      <w:start w:val="0"/>
      <w:numFmt w:val="bullet"/>
      <w:lvlText w:val="•"/>
      <w:lvlJc w:val="left"/>
      <w:pPr>
        <w:ind w:left="5823" w:hanging="529"/>
      </w:pPr>
      <w:rPr>
        <w:rFonts w:hint="default"/>
        <w:lang w:val="zh-CN" w:eastAsia="zh-CN" w:bidi="zh-CN"/>
      </w:rPr>
    </w:lvl>
    <w:lvl w:ilvl="6" w:tentative="0">
      <w:start w:val="0"/>
      <w:numFmt w:val="bullet"/>
      <w:lvlText w:val="•"/>
      <w:lvlJc w:val="left"/>
      <w:pPr>
        <w:ind w:left="6751" w:hanging="529"/>
      </w:pPr>
      <w:rPr>
        <w:rFonts w:hint="default"/>
        <w:lang w:val="zh-CN" w:eastAsia="zh-CN" w:bidi="zh-CN"/>
      </w:rPr>
    </w:lvl>
    <w:lvl w:ilvl="7" w:tentative="0">
      <w:start w:val="0"/>
      <w:numFmt w:val="bullet"/>
      <w:lvlText w:val="•"/>
      <w:lvlJc w:val="left"/>
      <w:pPr>
        <w:ind w:left="7680" w:hanging="529"/>
      </w:pPr>
      <w:rPr>
        <w:rFonts w:hint="default"/>
        <w:lang w:val="zh-CN" w:eastAsia="zh-CN" w:bidi="zh-CN"/>
      </w:rPr>
    </w:lvl>
    <w:lvl w:ilvl="8" w:tentative="0">
      <w:start w:val="0"/>
      <w:numFmt w:val="bullet"/>
      <w:lvlText w:val="•"/>
      <w:lvlJc w:val="left"/>
      <w:pPr>
        <w:ind w:left="8609" w:hanging="529"/>
      </w:pPr>
      <w:rPr>
        <w:rFonts w:hint="default"/>
        <w:lang w:val="zh-CN" w:eastAsia="zh-CN" w:bidi="zh-CN"/>
      </w:rPr>
    </w:lvl>
  </w:abstractNum>
  <w:abstractNum w:abstractNumId="9">
    <w:nsid w:val="BCECA0B4"/>
    <w:multiLevelType w:val="multilevel"/>
    <w:tmpl w:val="BCECA0B4"/>
    <w:lvl w:ilvl="0" w:tentative="0">
      <w:start w:val="8"/>
      <w:numFmt w:val="decimal"/>
      <w:lvlText w:val="%1."/>
      <w:lvlJc w:val="left"/>
      <w:pPr>
        <w:ind w:left="560" w:hanging="322"/>
      </w:pPr>
      <w:rPr>
        <w:rFonts w:hint="default" w:ascii="宋体" w:hAnsi="宋体" w:eastAsia="宋体" w:cs="宋体"/>
        <w:b/>
        <w:bCs/>
        <w:spacing w:val="1"/>
        <w:w w:val="98"/>
        <w:sz w:val="30"/>
        <w:szCs w:val="30"/>
        <w:lang w:val="zh-CN" w:eastAsia="zh-CN" w:bidi="zh-CN"/>
      </w:rPr>
    </w:lvl>
    <w:lvl w:ilvl="1" w:tentative="0">
      <w:start w:val="1"/>
      <w:numFmt w:val="decimal"/>
      <w:lvlText w:val="%1.%2"/>
      <w:lvlJc w:val="left"/>
      <w:pPr>
        <w:ind w:left="238" w:hanging="514"/>
      </w:pPr>
      <w:rPr>
        <w:rFonts w:hint="default"/>
        <w:w w:val="100"/>
        <w:lang w:val="zh-CN" w:eastAsia="zh-CN" w:bidi="zh-CN"/>
      </w:rPr>
    </w:lvl>
    <w:lvl w:ilvl="2" w:tentative="0">
      <w:start w:val="1"/>
      <w:numFmt w:val="decimal"/>
      <w:lvlText w:val="%1.%2.%3"/>
      <w:lvlJc w:val="left"/>
      <w:pPr>
        <w:ind w:left="238" w:hanging="514"/>
      </w:pPr>
      <w:rPr>
        <w:rFonts w:hint="default" w:ascii="宋体" w:hAnsi="宋体" w:eastAsia="宋体" w:cs="宋体"/>
        <w:w w:val="100"/>
        <w:sz w:val="21"/>
        <w:szCs w:val="21"/>
        <w:lang w:val="zh-CN" w:eastAsia="zh-CN" w:bidi="zh-CN"/>
      </w:rPr>
    </w:lvl>
    <w:lvl w:ilvl="3" w:tentative="0">
      <w:start w:val="1"/>
      <w:numFmt w:val="decimal"/>
      <w:lvlText w:val="(%4)"/>
      <w:lvlJc w:val="left"/>
      <w:pPr>
        <w:ind w:left="946" w:hanging="514"/>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940" w:hanging="514"/>
      </w:pPr>
      <w:rPr>
        <w:rFonts w:hint="default"/>
        <w:lang w:val="zh-CN" w:eastAsia="zh-CN" w:bidi="zh-CN"/>
      </w:rPr>
    </w:lvl>
    <w:lvl w:ilvl="5" w:tentative="0">
      <w:start w:val="0"/>
      <w:numFmt w:val="bullet"/>
      <w:lvlText w:val="•"/>
      <w:lvlJc w:val="left"/>
      <w:pPr>
        <w:ind w:left="2527" w:hanging="514"/>
      </w:pPr>
      <w:rPr>
        <w:rFonts w:hint="default"/>
        <w:lang w:val="zh-CN" w:eastAsia="zh-CN" w:bidi="zh-CN"/>
      </w:rPr>
    </w:lvl>
    <w:lvl w:ilvl="6" w:tentative="0">
      <w:start w:val="0"/>
      <w:numFmt w:val="bullet"/>
      <w:lvlText w:val="•"/>
      <w:lvlJc w:val="left"/>
      <w:pPr>
        <w:ind w:left="4115" w:hanging="514"/>
      </w:pPr>
      <w:rPr>
        <w:rFonts w:hint="default"/>
        <w:lang w:val="zh-CN" w:eastAsia="zh-CN" w:bidi="zh-CN"/>
      </w:rPr>
    </w:lvl>
    <w:lvl w:ilvl="7" w:tentative="0">
      <w:start w:val="0"/>
      <w:numFmt w:val="bullet"/>
      <w:lvlText w:val="•"/>
      <w:lvlJc w:val="left"/>
      <w:pPr>
        <w:ind w:left="5703" w:hanging="514"/>
      </w:pPr>
      <w:rPr>
        <w:rFonts w:hint="default"/>
        <w:lang w:val="zh-CN" w:eastAsia="zh-CN" w:bidi="zh-CN"/>
      </w:rPr>
    </w:lvl>
    <w:lvl w:ilvl="8" w:tentative="0">
      <w:start w:val="0"/>
      <w:numFmt w:val="bullet"/>
      <w:lvlText w:val="•"/>
      <w:lvlJc w:val="left"/>
      <w:pPr>
        <w:ind w:left="7290" w:hanging="514"/>
      </w:pPr>
      <w:rPr>
        <w:rFonts w:hint="default"/>
        <w:lang w:val="zh-CN" w:eastAsia="zh-CN" w:bidi="zh-CN"/>
      </w:rPr>
    </w:lvl>
  </w:abstractNum>
  <w:abstractNum w:abstractNumId="10">
    <w:nsid w:val="BDA1395C"/>
    <w:multiLevelType w:val="multilevel"/>
    <w:tmpl w:val="BDA1395C"/>
    <w:lvl w:ilvl="0" w:tentative="0">
      <w:start w:val="1"/>
      <w:numFmt w:val="decimal"/>
      <w:lvlText w:val="（%1）"/>
      <w:lvlJc w:val="left"/>
      <w:pPr>
        <w:tabs>
          <w:tab w:val="left" w:pos="-420"/>
        </w:tabs>
        <w:ind w:left="-182" w:hanging="529"/>
      </w:pPr>
      <w:rPr>
        <w:rFonts w:hint="default" w:ascii="宋体" w:hAnsi="宋体" w:eastAsia="宋体" w:cs="宋体"/>
        <w:spacing w:val="-25"/>
        <w:w w:val="100"/>
        <w:sz w:val="19"/>
        <w:szCs w:val="19"/>
        <w:lang w:val="zh-CN" w:eastAsia="zh-CN" w:bidi="zh-CN"/>
      </w:rPr>
    </w:lvl>
    <w:lvl w:ilvl="1" w:tentative="0">
      <w:start w:val="0"/>
      <w:numFmt w:val="bullet"/>
      <w:lvlText w:val="•"/>
      <w:lvlJc w:val="left"/>
      <w:pPr>
        <w:tabs>
          <w:tab w:val="left" w:pos="-420"/>
        </w:tabs>
        <w:ind w:left="842" w:hanging="529"/>
      </w:pPr>
      <w:rPr>
        <w:rFonts w:hint="default"/>
        <w:lang w:val="zh-CN" w:eastAsia="zh-CN" w:bidi="zh-CN"/>
      </w:rPr>
    </w:lvl>
    <w:lvl w:ilvl="2" w:tentative="0">
      <w:start w:val="0"/>
      <w:numFmt w:val="bullet"/>
      <w:lvlText w:val="•"/>
      <w:lvlJc w:val="left"/>
      <w:pPr>
        <w:tabs>
          <w:tab w:val="left" w:pos="-420"/>
        </w:tabs>
        <w:ind w:left="1865" w:hanging="529"/>
      </w:pPr>
      <w:rPr>
        <w:rFonts w:hint="default"/>
        <w:lang w:val="zh-CN" w:eastAsia="zh-CN" w:bidi="zh-CN"/>
      </w:rPr>
    </w:lvl>
    <w:lvl w:ilvl="3" w:tentative="0">
      <w:start w:val="0"/>
      <w:numFmt w:val="bullet"/>
      <w:lvlText w:val="•"/>
      <w:lvlJc w:val="left"/>
      <w:pPr>
        <w:tabs>
          <w:tab w:val="left" w:pos="-420"/>
        </w:tabs>
        <w:ind w:left="2887" w:hanging="529"/>
      </w:pPr>
      <w:rPr>
        <w:rFonts w:hint="default"/>
        <w:lang w:val="zh-CN" w:eastAsia="zh-CN" w:bidi="zh-CN"/>
      </w:rPr>
    </w:lvl>
    <w:lvl w:ilvl="4" w:tentative="0">
      <w:start w:val="0"/>
      <w:numFmt w:val="bullet"/>
      <w:lvlText w:val="•"/>
      <w:lvlJc w:val="left"/>
      <w:pPr>
        <w:tabs>
          <w:tab w:val="left" w:pos="-420"/>
        </w:tabs>
        <w:ind w:left="3910" w:hanging="529"/>
      </w:pPr>
      <w:rPr>
        <w:rFonts w:hint="default"/>
        <w:lang w:val="zh-CN" w:eastAsia="zh-CN" w:bidi="zh-CN"/>
      </w:rPr>
    </w:lvl>
    <w:lvl w:ilvl="5" w:tentative="0">
      <w:start w:val="0"/>
      <w:numFmt w:val="bullet"/>
      <w:lvlText w:val="•"/>
      <w:lvlJc w:val="left"/>
      <w:pPr>
        <w:tabs>
          <w:tab w:val="left" w:pos="-420"/>
        </w:tabs>
        <w:ind w:left="4933" w:hanging="529"/>
      </w:pPr>
      <w:rPr>
        <w:rFonts w:hint="default"/>
        <w:lang w:val="zh-CN" w:eastAsia="zh-CN" w:bidi="zh-CN"/>
      </w:rPr>
    </w:lvl>
    <w:lvl w:ilvl="6" w:tentative="0">
      <w:start w:val="0"/>
      <w:numFmt w:val="bullet"/>
      <w:lvlText w:val="•"/>
      <w:lvlJc w:val="left"/>
      <w:pPr>
        <w:tabs>
          <w:tab w:val="left" w:pos="-420"/>
        </w:tabs>
        <w:ind w:left="5955" w:hanging="529"/>
      </w:pPr>
      <w:rPr>
        <w:rFonts w:hint="default"/>
        <w:lang w:val="zh-CN" w:eastAsia="zh-CN" w:bidi="zh-CN"/>
      </w:rPr>
    </w:lvl>
    <w:lvl w:ilvl="7" w:tentative="0">
      <w:start w:val="0"/>
      <w:numFmt w:val="bullet"/>
      <w:lvlText w:val="•"/>
      <w:lvlJc w:val="left"/>
      <w:pPr>
        <w:tabs>
          <w:tab w:val="left" w:pos="-420"/>
        </w:tabs>
        <w:ind w:left="6978" w:hanging="529"/>
      </w:pPr>
      <w:rPr>
        <w:rFonts w:hint="default"/>
        <w:lang w:val="zh-CN" w:eastAsia="zh-CN" w:bidi="zh-CN"/>
      </w:rPr>
    </w:lvl>
    <w:lvl w:ilvl="8" w:tentative="0">
      <w:start w:val="0"/>
      <w:numFmt w:val="bullet"/>
      <w:lvlText w:val="•"/>
      <w:lvlJc w:val="left"/>
      <w:pPr>
        <w:tabs>
          <w:tab w:val="left" w:pos="-420"/>
        </w:tabs>
        <w:ind w:left="8001" w:hanging="529"/>
      </w:pPr>
      <w:rPr>
        <w:rFonts w:hint="default"/>
        <w:lang w:val="zh-CN" w:eastAsia="zh-CN" w:bidi="zh-CN"/>
      </w:rPr>
    </w:lvl>
  </w:abstractNum>
  <w:abstractNum w:abstractNumId="11">
    <w:nsid w:val="BE8A4F4C"/>
    <w:multiLevelType w:val="multilevel"/>
    <w:tmpl w:val="BE8A4F4C"/>
    <w:lvl w:ilvl="0" w:tentative="0">
      <w:start w:val="1"/>
      <w:numFmt w:val="decimal"/>
      <w:lvlText w:val="%1"/>
      <w:lvlJc w:val="left"/>
      <w:pPr>
        <w:ind w:left="800" w:hanging="425"/>
      </w:pPr>
      <w:rPr>
        <w:rFonts w:hint="default"/>
        <w:lang w:val="zh-CN" w:eastAsia="zh-CN" w:bidi="zh-CN"/>
      </w:rPr>
    </w:lvl>
    <w:lvl w:ilvl="1" w:tentative="0">
      <w:start w:val="3"/>
      <w:numFmt w:val="decimal"/>
      <w:lvlText w:val="%1.%2"/>
      <w:lvlJc w:val="left"/>
      <w:pPr>
        <w:ind w:left="800" w:hanging="425"/>
      </w:pPr>
      <w:rPr>
        <w:rFonts w:hint="default" w:ascii="宋体" w:hAnsi="宋体" w:eastAsia="宋体" w:cs="宋体"/>
        <w:b/>
        <w:bCs/>
        <w:spacing w:val="-3"/>
        <w:w w:val="99"/>
        <w:sz w:val="26"/>
        <w:szCs w:val="26"/>
        <w:lang w:val="zh-CN" w:eastAsia="zh-CN" w:bidi="zh-CN"/>
      </w:rPr>
    </w:lvl>
    <w:lvl w:ilvl="2" w:tentative="0">
      <w:start w:val="1"/>
      <w:numFmt w:val="decimal"/>
      <w:lvlText w:val="%1.%2.%3"/>
      <w:lvlJc w:val="left"/>
      <w:pPr>
        <w:ind w:left="1237"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3290" w:hanging="579"/>
      </w:pPr>
      <w:rPr>
        <w:rFonts w:hint="default"/>
        <w:lang w:val="zh-CN" w:eastAsia="zh-CN" w:bidi="zh-CN"/>
      </w:rPr>
    </w:lvl>
    <w:lvl w:ilvl="4" w:tentative="0">
      <w:start w:val="0"/>
      <w:numFmt w:val="bullet"/>
      <w:lvlText w:val="•"/>
      <w:lvlJc w:val="left"/>
      <w:pPr>
        <w:ind w:left="4315" w:hanging="579"/>
      </w:pPr>
      <w:rPr>
        <w:rFonts w:hint="default"/>
        <w:lang w:val="zh-CN" w:eastAsia="zh-CN" w:bidi="zh-CN"/>
      </w:rPr>
    </w:lvl>
    <w:lvl w:ilvl="5" w:tentative="0">
      <w:start w:val="0"/>
      <w:numFmt w:val="bullet"/>
      <w:lvlText w:val="•"/>
      <w:lvlJc w:val="left"/>
      <w:pPr>
        <w:ind w:left="5340" w:hanging="579"/>
      </w:pPr>
      <w:rPr>
        <w:rFonts w:hint="default"/>
        <w:lang w:val="zh-CN" w:eastAsia="zh-CN" w:bidi="zh-CN"/>
      </w:rPr>
    </w:lvl>
    <w:lvl w:ilvl="6" w:tentative="0">
      <w:start w:val="0"/>
      <w:numFmt w:val="bullet"/>
      <w:lvlText w:val="•"/>
      <w:lvlJc w:val="left"/>
      <w:pPr>
        <w:ind w:left="6365" w:hanging="579"/>
      </w:pPr>
      <w:rPr>
        <w:rFonts w:hint="default"/>
        <w:lang w:val="zh-CN" w:eastAsia="zh-CN" w:bidi="zh-CN"/>
      </w:rPr>
    </w:lvl>
    <w:lvl w:ilvl="7" w:tentative="0">
      <w:start w:val="0"/>
      <w:numFmt w:val="bullet"/>
      <w:lvlText w:val="•"/>
      <w:lvlJc w:val="left"/>
      <w:pPr>
        <w:ind w:left="7390" w:hanging="579"/>
      </w:pPr>
      <w:rPr>
        <w:rFonts w:hint="default"/>
        <w:lang w:val="zh-CN" w:eastAsia="zh-CN" w:bidi="zh-CN"/>
      </w:rPr>
    </w:lvl>
    <w:lvl w:ilvl="8" w:tentative="0">
      <w:start w:val="0"/>
      <w:numFmt w:val="bullet"/>
      <w:lvlText w:val="•"/>
      <w:lvlJc w:val="left"/>
      <w:pPr>
        <w:ind w:left="8416" w:hanging="579"/>
      </w:pPr>
      <w:rPr>
        <w:rFonts w:hint="default"/>
        <w:lang w:val="zh-CN" w:eastAsia="zh-CN" w:bidi="zh-CN"/>
      </w:rPr>
    </w:lvl>
  </w:abstractNum>
  <w:abstractNum w:abstractNumId="12">
    <w:nsid w:val="C4E0D24A"/>
    <w:multiLevelType w:val="multilevel"/>
    <w:tmpl w:val="C4E0D24A"/>
    <w:lvl w:ilvl="0" w:tentative="0">
      <w:start w:val="1"/>
      <w:numFmt w:val="decimal"/>
      <w:lvlText w:val="%1."/>
      <w:lvlJc w:val="left"/>
      <w:pPr>
        <w:ind w:left="668" w:hanging="322"/>
        <w:jc w:val="right"/>
      </w:pPr>
      <w:rPr>
        <w:rFonts w:hint="default" w:ascii="宋体" w:hAnsi="宋体" w:eastAsia="宋体" w:cs="宋体"/>
        <w:b/>
        <w:bCs/>
        <w:spacing w:val="1"/>
        <w:w w:val="98"/>
        <w:sz w:val="30"/>
        <w:szCs w:val="30"/>
        <w:lang w:val="zh-CN" w:eastAsia="zh-CN" w:bidi="zh-CN"/>
      </w:rPr>
    </w:lvl>
    <w:lvl w:ilvl="1" w:tentative="0">
      <w:start w:val="1"/>
      <w:numFmt w:val="decimal"/>
      <w:lvlText w:val="%1.%2"/>
      <w:lvlJc w:val="left"/>
      <w:pPr>
        <w:ind w:left="800" w:hanging="425"/>
      </w:pPr>
      <w:rPr>
        <w:rFonts w:hint="default" w:ascii="宋体" w:hAnsi="宋体" w:eastAsia="宋体" w:cs="宋体"/>
        <w:b/>
        <w:bCs/>
        <w:spacing w:val="-3"/>
        <w:w w:val="99"/>
        <w:sz w:val="26"/>
        <w:szCs w:val="26"/>
        <w:lang w:val="zh-CN" w:eastAsia="zh-CN" w:bidi="zh-CN"/>
      </w:rPr>
    </w:lvl>
    <w:lvl w:ilvl="2" w:tentative="0">
      <w:start w:val="1"/>
      <w:numFmt w:val="decimal"/>
      <w:lvlText w:val="%1.%2.%3"/>
      <w:lvlJc w:val="left"/>
      <w:pPr>
        <w:ind w:left="238"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940" w:hanging="579"/>
      </w:pPr>
      <w:rPr>
        <w:rFonts w:hint="default"/>
        <w:lang w:val="zh-CN" w:eastAsia="zh-CN" w:bidi="zh-CN"/>
      </w:rPr>
    </w:lvl>
    <w:lvl w:ilvl="4" w:tentative="0">
      <w:start w:val="0"/>
      <w:numFmt w:val="bullet"/>
      <w:lvlText w:val="•"/>
      <w:lvlJc w:val="left"/>
      <w:pPr>
        <w:ind w:left="1180" w:hanging="579"/>
      </w:pPr>
      <w:rPr>
        <w:rFonts w:hint="default"/>
        <w:lang w:val="zh-CN" w:eastAsia="zh-CN" w:bidi="zh-CN"/>
      </w:rPr>
    </w:lvl>
    <w:lvl w:ilvl="5" w:tentative="0">
      <w:start w:val="0"/>
      <w:numFmt w:val="bullet"/>
      <w:lvlText w:val="•"/>
      <w:lvlJc w:val="left"/>
      <w:pPr>
        <w:ind w:left="1340" w:hanging="579"/>
      </w:pPr>
      <w:rPr>
        <w:rFonts w:hint="default"/>
        <w:lang w:val="zh-CN" w:eastAsia="zh-CN" w:bidi="zh-CN"/>
      </w:rPr>
    </w:lvl>
    <w:lvl w:ilvl="6" w:tentative="0">
      <w:start w:val="0"/>
      <w:numFmt w:val="bullet"/>
      <w:lvlText w:val="•"/>
      <w:lvlJc w:val="left"/>
      <w:pPr>
        <w:ind w:left="3165" w:hanging="579"/>
      </w:pPr>
      <w:rPr>
        <w:rFonts w:hint="default"/>
        <w:lang w:val="zh-CN" w:eastAsia="zh-CN" w:bidi="zh-CN"/>
      </w:rPr>
    </w:lvl>
    <w:lvl w:ilvl="7" w:tentative="0">
      <w:start w:val="0"/>
      <w:numFmt w:val="bullet"/>
      <w:lvlText w:val="•"/>
      <w:lvlJc w:val="left"/>
      <w:pPr>
        <w:ind w:left="4990" w:hanging="579"/>
      </w:pPr>
      <w:rPr>
        <w:rFonts w:hint="default"/>
        <w:lang w:val="zh-CN" w:eastAsia="zh-CN" w:bidi="zh-CN"/>
      </w:rPr>
    </w:lvl>
    <w:lvl w:ilvl="8" w:tentative="0">
      <w:start w:val="0"/>
      <w:numFmt w:val="bullet"/>
      <w:lvlText w:val="•"/>
      <w:lvlJc w:val="left"/>
      <w:pPr>
        <w:ind w:left="6815" w:hanging="579"/>
      </w:pPr>
      <w:rPr>
        <w:rFonts w:hint="default"/>
        <w:lang w:val="zh-CN" w:eastAsia="zh-CN" w:bidi="zh-CN"/>
      </w:rPr>
    </w:lvl>
  </w:abstractNum>
  <w:abstractNum w:abstractNumId="13">
    <w:nsid w:val="CA921B7E"/>
    <w:multiLevelType w:val="singleLevel"/>
    <w:tmpl w:val="CA921B7E"/>
    <w:lvl w:ilvl="0" w:tentative="0">
      <w:start w:val="3"/>
      <w:numFmt w:val="chineseCounting"/>
      <w:suff w:val="nothing"/>
      <w:lvlText w:val="%1、"/>
      <w:lvlJc w:val="left"/>
      <w:rPr>
        <w:rFonts w:hint="eastAsia"/>
      </w:rPr>
    </w:lvl>
  </w:abstractNum>
  <w:abstractNum w:abstractNumId="14">
    <w:nsid w:val="D1EB1714"/>
    <w:multiLevelType w:val="multilevel"/>
    <w:tmpl w:val="D1EB1714"/>
    <w:lvl w:ilvl="0" w:tentative="0">
      <w:start w:val="1"/>
      <w:numFmt w:val="decimal"/>
      <w:lvlText w:val="（%1）"/>
      <w:lvlJc w:val="left"/>
      <w:pPr>
        <w:ind w:left="238" w:hanging="529"/>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262" w:hanging="529"/>
      </w:pPr>
      <w:rPr>
        <w:rFonts w:hint="default"/>
        <w:lang w:val="zh-CN" w:eastAsia="zh-CN" w:bidi="zh-CN"/>
      </w:rPr>
    </w:lvl>
    <w:lvl w:ilvl="2" w:tentative="0">
      <w:start w:val="0"/>
      <w:numFmt w:val="bullet"/>
      <w:lvlText w:val="•"/>
      <w:lvlJc w:val="left"/>
      <w:pPr>
        <w:ind w:left="2285" w:hanging="529"/>
      </w:pPr>
      <w:rPr>
        <w:rFonts w:hint="default"/>
        <w:lang w:val="zh-CN" w:eastAsia="zh-CN" w:bidi="zh-CN"/>
      </w:rPr>
    </w:lvl>
    <w:lvl w:ilvl="3" w:tentative="0">
      <w:start w:val="0"/>
      <w:numFmt w:val="bullet"/>
      <w:lvlText w:val="•"/>
      <w:lvlJc w:val="left"/>
      <w:pPr>
        <w:ind w:left="3307" w:hanging="529"/>
      </w:pPr>
      <w:rPr>
        <w:rFonts w:hint="default"/>
        <w:lang w:val="zh-CN" w:eastAsia="zh-CN" w:bidi="zh-CN"/>
      </w:rPr>
    </w:lvl>
    <w:lvl w:ilvl="4" w:tentative="0">
      <w:start w:val="0"/>
      <w:numFmt w:val="bullet"/>
      <w:lvlText w:val="•"/>
      <w:lvlJc w:val="left"/>
      <w:pPr>
        <w:ind w:left="4330" w:hanging="529"/>
      </w:pPr>
      <w:rPr>
        <w:rFonts w:hint="default"/>
        <w:lang w:val="zh-CN" w:eastAsia="zh-CN" w:bidi="zh-CN"/>
      </w:rPr>
    </w:lvl>
    <w:lvl w:ilvl="5" w:tentative="0">
      <w:start w:val="0"/>
      <w:numFmt w:val="bullet"/>
      <w:lvlText w:val="•"/>
      <w:lvlJc w:val="left"/>
      <w:pPr>
        <w:ind w:left="5353" w:hanging="529"/>
      </w:pPr>
      <w:rPr>
        <w:rFonts w:hint="default"/>
        <w:lang w:val="zh-CN" w:eastAsia="zh-CN" w:bidi="zh-CN"/>
      </w:rPr>
    </w:lvl>
    <w:lvl w:ilvl="6" w:tentative="0">
      <w:start w:val="0"/>
      <w:numFmt w:val="bullet"/>
      <w:lvlText w:val="•"/>
      <w:lvlJc w:val="left"/>
      <w:pPr>
        <w:ind w:left="6375" w:hanging="529"/>
      </w:pPr>
      <w:rPr>
        <w:rFonts w:hint="default"/>
        <w:lang w:val="zh-CN" w:eastAsia="zh-CN" w:bidi="zh-CN"/>
      </w:rPr>
    </w:lvl>
    <w:lvl w:ilvl="7" w:tentative="0">
      <w:start w:val="0"/>
      <w:numFmt w:val="bullet"/>
      <w:lvlText w:val="•"/>
      <w:lvlJc w:val="left"/>
      <w:pPr>
        <w:ind w:left="7398" w:hanging="529"/>
      </w:pPr>
      <w:rPr>
        <w:rFonts w:hint="default"/>
        <w:lang w:val="zh-CN" w:eastAsia="zh-CN" w:bidi="zh-CN"/>
      </w:rPr>
    </w:lvl>
    <w:lvl w:ilvl="8" w:tentative="0">
      <w:start w:val="0"/>
      <w:numFmt w:val="bullet"/>
      <w:lvlText w:val="•"/>
      <w:lvlJc w:val="left"/>
      <w:pPr>
        <w:ind w:left="8421" w:hanging="529"/>
      </w:pPr>
      <w:rPr>
        <w:rFonts w:hint="default"/>
        <w:lang w:val="zh-CN" w:eastAsia="zh-CN" w:bidi="zh-CN"/>
      </w:rPr>
    </w:lvl>
  </w:abstractNum>
  <w:abstractNum w:abstractNumId="15">
    <w:nsid w:val="DAD3A854"/>
    <w:multiLevelType w:val="multilevel"/>
    <w:tmpl w:val="DAD3A854"/>
    <w:lvl w:ilvl="0" w:tentative="0">
      <w:start w:val="1"/>
      <w:numFmt w:val="decimal"/>
      <w:lvlText w:val="%1"/>
      <w:lvlJc w:val="left"/>
      <w:pPr>
        <w:ind w:left="800" w:hanging="425"/>
      </w:pPr>
      <w:rPr>
        <w:rFonts w:hint="default"/>
        <w:lang w:val="zh-CN" w:eastAsia="zh-CN" w:bidi="zh-CN"/>
      </w:rPr>
    </w:lvl>
    <w:lvl w:ilvl="1" w:tentative="0">
      <w:start w:val="2"/>
      <w:numFmt w:val="decimal"/>
      <w:lvlText w:val="%1.%2"/>
      <w:lvlJc w:val="left"/>
      <w:pPr>
        <w:ind w:left="1646" w:hanging="425"/>
      </w:pPr>
      <w:rPr>
        <w:rFonts w:hint="default" w:ascii="宋体" w:hAnsi="宋体" w:eastAsia="宋体" w:cs="宋体"/>
        <w:b/>
        <w:bCs/>
        <w:spacing w:val="-3"/>
        <w:w w:val="99"/>
        <w:sz w:val="26"/>
        <w:szCs w:val="26"/>
        <w:lang w:val="zh-CN" w:eastAsia="zh-CN" w:bidi="zh-CN"/>
      </w:rPr>
    </w:lvl>
    <w:lvl w:ilvl="2" w:tentative="0">
      <w:start w:val="1"/>
      <w:numFmt w:val="decimal"/>
      <w:lvlText w:val="（%3）"/>
      <w:lvlJc w:val="left"/>
      <w:pPr>
        <w:ind w:left="1187" w:hanging="529"/>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243" w:hanging="529"/>
      </w:pPr>
      <w:rPr>
        <w:rFonts w:hint="default"/>
        <w:lang w:val="zh-CN" w:eastAsia="zh-CN" w:bidi="zh-CN"/>
      </w:rPr>
    </w:lvl>
    <w:lvl w:ilvl="4" w:tentative="0">
      <w:start w:val="0"/>
      <w:numFmt w:val="bullet"/>
      <w:lvlText w:val="•"/>
      <w:lvlJc w:val="left"/>
      <w:pPr>
        <w:ind w:left="4275" w:hanging="529"/>
      </w:pPr>
      <w:rPr>
        <w:rFonts w:hint="default"/>
        <w:lang w:val="zh-CN" w:eastAsia="zh-CN" w:bidi="zh-CN"/>
      </w:rPr>
    </w:lvl>
    <w:lvl w:ilvl="5" w:tentative="0">
      <w:start w:val="0"/>
      <w:numFmt w:val="bullet"/>
      <w:lvlText w:val="•"/>
      <w:lvlJc w:val="left"/>
      <w:pPr>
        <w:ind w:left="5307" w:hanging="529"/>
      </w:pPr>
      <w:rPr>
        <w:rFonts w:hint="default"/>
        <w:lang w:val="zh-CN" w:eastAsia="zh-CN" w:bidi="zh-CN"/>
      </w:rPr>
    </w:lvl>
    <w:lvl w:ilvl="6" w:tentative="0">
      <w:start w:val="0"/>
      <w:numFmt w:val="bullet"/>
      <w:lvlText w:val="•"/>
      <w:lvlJc w:val="left"/>
      <w:pPr>
        <w:ind w:left="6339" w:hanging="529"/>
      </w:pPr>
      <w:rPr>
        <w:rFonts w:hint="default"/>
        <w:lang w:val="zh-CN" w:eastAsia="zh-CN" w:bidi="zh-CN"/>
      </w:rPr>
    </w:lvl>
    <w:lvl w:ilvl="7" w:tentative="0">
      <w:start w:val="0"/>
      <w:numFmt w:val="bullet"/>
      <w:lvlText w:val="•"/>
      <w:lvlJc w:val="left"/>
      <w:pPr>
        <w:ind w:left="7370" w:hanging="529"/>
      </w:pPr>
      <w:rPr>
        <w:rFonts w:hint="default"/>
        <w:lang w:val="zh-CN" w:eastAsia="zh-CN" w:bidi="zh-CN"/>
      </w:rPr>
    </w:lvl>
    <w:lvl w:ilvl="8" w:tentative="0">
      <w:start w:val="0"/>
      <w:numFmt w:val="bullet"/>
      <w:lvlText w:val="•"/>
      <w:lvlJc w:val="left"/>
      <w:pPr>
        <w:ind w:left="8402" w:hanging="529"/>
      </w:pPr>
      <w:rPr>
        <w:rFonts w:hint="default"/>
        <w:lang w:val="zh-CN" w:eastAsia="zh-CN" w:bidi="zh-CN"/>
      </w:rPr>
    </w:lvl>
  </w:abstractNum>
  <w:abstractNum w:abstractNumId="16">
    <w:nsid w:val="E7B27C5B"/>
    <w:multiLevelType w:val="multilevel"/>
    <w:tmpl w:val="E7B27C5B"/>
    <w:lvl w:ilvl="0" w:tentative="0">
      <w:start w:val="1"/>
      <w:numFmt w:val="decimal"/>
      <w:lvlText w:val="%1"/>
      <w:lvlJc w:val="left"/>
      <w:pPr>
        <w:ind w:left="238" w:hanging="684"/>
      </w:pPr>
      <w:rPr>
        <w:rFonts w:hint="default"/>
        <w:lang w:val="zh-CN" w:eastAsia="zh-CN" w:bidi="zh-CN"/>
      </w:rPr>
    </w:lvl>
    <w:lvl w:ilvl="1" w:tentative="0">
      <w:start w:val="10"/>
      <w:numFmt w:val="decimal"/>
      <w:lvlText w:val="%1.%2"/>
      <w:lvlJc w:val="left"/>
      <w:pPr>
        <w:ind w:left="238" w:hanging="684"/>
      </w:pPr>
      <w:rPr>
        <w:rFonts w:hint="default"/>
        <w:lang w:val="zh-CN" w:eastAsia="zh-CN" w:bidi="zh-CN"/>
      </w:rPr>
    </w:lvl>
    <w:lvl w:ilvl="2" w:tentative="0">
      <w:start w:val="1"/>
      <w:numFmt w:val="decimal"/>
      <w:lvlText w:val="%1.%2.%3"/>
      <w:lvlJc w:val="left"/>
      <w:pPr>
        <w:ind w:left="238" w:hanging="684"/>
      </w:pPr>
      <w:rPr>
        <w:rFonts w:hint="default" w:ascii="宋体" w:hAnsi="宋体" w:eastAsia="宋体" w:cs="宋体"/>
        <w:spacing w:val="-3"/>
        <w:w w:val="100"/>
        <w:sz w:val="21"/>
        <w:szCs w:val="21"/>
        <w:lang w:val="zh-CN" w:eastAsia="zh-CN" w:bidi="zh-CN"/>
      </w:rPr>
    </w:lvl>
    <w:lvl w:ilvl="3" w:tentative="0">
      <w:start w:val="0"/>
      <w:numFmt w:val="bullet"/>
      <w:lvlText w:val="•"/>
      <w:lvlJc w:val="left"/>
      <w:pPr>
        <w:ind w:left="3307" w:hanging="684"/>
      </w:pPr>
      <w:rPr>
        <w:rFonts w:hint="default"/>
        <w:lang w:val="zh-CN" w:eastAsia="zh-CN" w:bidi="zh-CN"/>
      </w:rPr>
    </w:lvl>
    <w:lvl w:ilvl="4" w:tentative="0">
      <w:start w:val="0"/>
      <w:numFmt w:val="bullet"/>
      <w:lvlText w:val="•"/>
      <w:lvlJc w:val="left"/>
      <w:pPr>
        <w:ind w:left="4330" w:hanging="684"/>
      </w:pPr>
      <w:rPr>
        <w:rFonts w:hint="default"/>
        <w:lang w:val="zh-CN" w:eastAsia="zh-CN" w:bidi="zh-CN"/>
      </w:rPr>
    </w:lvl>
    <w:lvl w:ilvl="5" w:tentative="0">
      <w:start w:val="0"/>
      <w:numFmt w:val="bullet"/>
      <w:lvlText w:val="•"/>
      <w:lvlJc w:val="left"/>
      <w:pPr>
        <w:ind w:left="5353" w:hanging="684"/>
      </w:pPr>
      <w:rPr>
        <w:rFonts w:hint="default"/>
        <w:lang w:val="zh-CN" w:eastAsia="zh-CN" w:bidi="zh-CN"/>
      </w:rPr>
    </w:lvl>
    <w:lvl w:ilvl="6" w:tentative="0">
      <w:start w:val="0"/>
      <w:numFmt w:val="bullet"/>
      <w:lvlText w:val="•"/>
      <w:lvlJc w:val="left"/>
      <w:pPr>
        <w:ind w:left="6375" w:hanging="684"/>
      </w:pPr>
      <w:rPr>
        <w:rFonts w:hint="default"/>
        <w:lang w:val="zh-CN" w:eastAsia="zh-CN" w:bidi="zh-CN"/>
      </w:rPr>
    </w:lvl>
    <w:lvl w:ilvl="7" w:tentative="0">
      <w:start w:val="0"/>
      <w:numFmt w:val="bullet"/>
      <w:lvlText w:val="•"/>
      <w:lvlJc w:val="left"/>
      <w:pPr>
        <w:ind w:left="7398" w:hanging="684"/>
      </w:pPr>
      <w:rPr>
        <w:rFonts w:hint="default"/>
        <w:lang w:val="zh-CN" w:eastAsia="zh-CN" w:bidi="zh-CN"/>
      </w:rPr>
    </w:lvl>
    <w:lvl w:ilvl="8" w:tentative="0">
      <w:start w:val="0"/>
      <w:numFmt w:val="bullet"/>
      <w:lvlText w:val="•"/>
      <w:lvlJc w:val="left"/>
      <w:pPr>
        <w:ind w:left="8421" w:hanging="684"/>
      </w:pPr>
      <w:rPr>
        <w:rFonts w:hint="default"/>
        <w:lang w:val="zh-CN" w:eastAsia="zh-CN" w:bidi="zh-CN"/>
      </w:rPr>
    </w:lvl>
  </w:abstractNum>
  <w:abstractNum w:abstractNumId="17">
    <w:nsid w:val="00000005"/>
    <w:multiLevelType w:val="multilevel"/>
    <w:tmpl w:val="00000005"/>
    <w:lvl w:ilvl="0" w:tentative="0">
      <w:start w:val="1"/>
      <w:numFmt w:val="decimal"/>
      <w:pStyle w:val="6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1450273B"/>
    <w:multiLevelType w:val="multilevel"/>
    <w:tmpl w:val="1450273B"/>
    <w:lvl w:ilvl="0" w:tentative="0">
      <w:start w:val="4"/>
      <w:numFmt w:val="decimal"/>
      <w:lvlText w:val="%1"/>
      <w:lvlJc w:val="left"/>
      <w:pPr>
        <w:ind w:left="800" w:hanging="425"/>
      </w:pPr>
      <w:rPr>
        <w:rFonts w:hint="default"/>
        <w:lang w:val="zh-CN" w:eastAsia="zh-CN" w:bidi="zh-CN"/>
      </w:rPr>
    </w:lvl>
    <w:lvl w:ilvl="1" w:tentative="0">
      <w:start w:val="4"/>
      <w:numFmt w:val="decimal"/>
      <w:lvlText w:val="%1.%2"/>
      <w:lvlJc w:val="left"/>
      <w:pPr>
        <w:ind w:left="800" w:hanging="425"/>
      </w:pPr>
      <w:rPr>
        <w:rFonts w:hint="default" w:ascii="宋体" w:hAnsi="宋体" w:eastAsia="宋体" w:cs="宋体"/>
        <w:b/>
        <w:bCs/>
        <w:spacing w:val="-2"/>
        <w:w w:val="99"/>
        <w:sz w:val="26"/>
        <w:szCs w:val="26"/>
        <w:lang w:val="zh-CN" w:eastAsia="zh-CN" w:bidi="zh-CN"/>
      </w:rPr>
    </w:lvl>
    <w:lvl w:ilvl="2" w:tentative="0">
      <w:start w:val="1"/>
      <w:numFmt w:val="decimal"/>
      <w:lvlText w:val="%1.%2.%3"/>
      <w:lvlJc w:val="left"/>
      <w:pPr>
        <w:ind w:left="1306"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2445" w:hanging="579"/>
      </w:pPr>
      <w:rPr>
        <w:rFonts w:hint="default"/>
        <w:lang w:val="zh-CN" w:eastAsia="zh-CN" w:bidi="zh-CN"/>
      </w:rPr>
    </w:lvl>
    <w:lvl w:ilvl="4" w:tentative="0">
      <w:start w:val="0"/>
      <w:numFmt w:val="bullet"/>
      <w:lvlText w:val="•"/>
      <w:lvlJc w:val="left"/>
      <w:pPr>
        <w:ind w:left="3591" w:hanging="579"/>
      </w:pPr>
      <w:rPr>
        <w:rFonts w:hint="default"/>
        <w:lang w:val="zh-CN" w:eastAsia="zh-CN" w:bidi="zh-CN"/>
      </w:rPr>
    </w:lvl>
    <w:lvl w:ilvl="5" w:tentative="0">
      <w:start w:val="0"/>
      <w:numFmt w:val="bullet"/>
      <w:lvlText w:val="•"/>
      <w:lvlJc w:val="left"/>
      <w:pPr>
        <w:ind w:left="4737" w:hanging="579"/>
      </w:pPr>
      <w:rPr>
        <w:rFonts w:hint="default"/>
        <w:lang w:val="zh-CN" w:eastAsia="zh-CN" w:bidi="zh-CN"/>
      </w:rPr>
    </w:lvl>
    <w:lvl w:ilvl="6" w:tentative="0">
      <w:start w:val="0"/>
      <w:numFmt w:val="bullet"/>
      <w:lvlText w:val="•"/>
      <w:lvlJc w:val="left"/>
      <w:pPr>
        <w:ind w:left="5883" w:hanging="579"/>
      </w:pPr>
      <w:rPr>
        <w:rFonts w:hint="default"/>
        <w:lang w:val="zh-CN" w:eastAsia="zh-CN" w:bidi="zh-CN"/>
      </w:rPr>
    </w:lvl>
    <w:lvl w:ilvl="7" w:tentative="0">
      <w:start w:val="0"/>
      <w:numFmt w:val="bullet"/>
      <w:lvlText w:val="•"/>
      <w:lvlJc w:val="left"/>
      <w:pPr>
        <w:ind w:left="7029" w:hanging="579"/>
      </w:pPr>
      <w:rPr>
        <w:rFonts w:hint="default"/>
        <w:lang w:val="zh-CN" w:eastAsia="zh-CN" w:bidi="zh-CN"/>
      </w:rPr>
    </w:lvl>
    <w:lvl w:ilvl="8" w:tentative="0">
      <w:start w:val="0"/>
      <w:numFmt w:val="bullet"/>
      <w:lvlText w:val="•"/>
      <w:lvlJc w:val="left"/>
      <w:pPr>
        <w:ind w:left="8174" w:hanging="579"/>
      </w:pPr>
      <w:rPr>
        <w:rFonts w:hint="default"/>
        <w:lang w:val="zh-CN" w:eastAsia="zh-CN" w:bidi="zh-CN"/>
      </w:rPr>
    </w:lvl>
  </w:abstractNum>
  <w:abstractNum w:abstractNumId="19">
    <w:nsid w:val="1BCBBCF0"/>
    <w:multiLevelType w:val="multilevel"/>
    <w:tmpl w:val="1BCBBCF0"/>
    <w:lvl w:ilvl="0" w:tentative="0">
      <w:start w:val="1"/>
      <w:numFmt w:val="decimal"/>
      <w:lvlText w:val="%1."/>
      <w:lvlJc w:val="left"/>
      <w:pPr>
        <w:ind w:left="668" w:hanging="322"/>
        <w:jc w:val="right"/>
      </w:pPr>
      <w:rPr>
        <w:rFonts w:hint="default" w:ascii="宋体" w:hAnsi="宋体" w:eastAsia="宋体" w:cs="宋体"/>
        <w:b/>
        <w:bCs/>
        <w:spacing w:val="1"/>
        <w:w w:val="98"/>
        <w:sz w:val="30"/>
        <w:szCs w:val="30"/>
        <w:lang w:val="zh-CN" w:eastAsia="zh-CN" w:bidi="zh-CN"/>
      </w:rPr>
    </w:lvl>
    <w:lvl w:ilvl="1" w:tentative="0">
      <w:start w:val="1"/>
      <w:numFmt w:val="decimal"/>
      <w:lvlText w:val="%1.%2"/>
      <w:lvlJc w:val="left"/>
      <w:pPr>
        <w:ind w:left="800" w:hanging="425"/>
      </w:pPr>
      <w:rPr>
        <w:rFonts w:hint="default" w:ascii="宋体" w:hAnsi="宋体" w:eastAsia="宋体" w:cs="宋体"/>
        <w:b/>
        <w:bCs/>
        <w:spacing w:val="0"/>
        <w:w w:val="99"/>
        <w:sz w:val="26"/>
        <w:szCs w:val="26"/>
        <w:lang w:val="zh-CN" w:eastAsia="zh-CN" w:bidi="zh-CN"/>
      </w:rPr>
    </w:lvl>
    <w:lvl w:ilvl="2" w:tentative="0">
      <w:start w:val="1"/>
      <w:numFmt w:val="decimal"/>
      <w:lvlText w:val="%1.%2.%3"/>
      <w:lvlJc w:val="left"/>
      <w:pPr>
        <w:ind w:left="238" w:hanging="646"/>
      </w:pPr>
      <w:rPr>
        <w:rFonts w:hint="default" w:ascii="宋体" w:hAnsi="宋体" w:eastAsia="宋体" w:cs="宋体"/>
        <w:w w:val="100"/>
        <w:sz w:val="21"/>
        <w:szCs w:val="21"/>
        <w:lang w:val="zh-CN" w:eastAsia="zh-CN" w:bidi="zh-CN"/>
      </w:rPr>
    </w:lvl>
    <w:lvl w:ilvl="3" w:tentative="0">
      <w:start w:val="0"/>
      <w:numFmt w:val="bullet"/>
      <w:lvlText w:val="•"/>
      <w:lvlJc w:val="left"/>
      <w:pPr>
        <w:ind w:left="2008" w:hanging="646"/>
      </w:pPr>
      <w:rPr>
        <w:rFonts w:hint="default"/>
        <w:lang w:val="zh-CN" w:eastAsia="zh-CN" w:bidi="zh-CN"/>
      </w:rPr>
    </w:lvl>
    <w:lvl w:ilvl="4" w:tentative="0">
      <w:start w:val="0"/>
      <w:numFmt w:val="bullet"/>
      <w:lvlText w:val="•"/>
      <w:lvlJc w:val="left"/>
      <w:pPr>
        <w:ind w:left="3216" w:hanging="646"/>
      </w:pPr>
      <w:rPr>
        <w:rFonts w:hint="default"/>
        <w:lang w:val="zh-CN" w:eastAsia="zh-CN" w:bidi="zh-CN"/>
      </w:rPr>
    </w:lvl>
    <w:lvl w:ilvl="5" w:tentative="0">
      <w:start w:val="0"/>
      <w:numFmt w:val="bullet"/>
      <w:lvlText w:val="•"/>
      <w:lvlJc w:val="left"/>
      <w:pPr>
        <w:ind w:left="4424" w:hanging="646"/>
      </w:pPr>
      <w:rPr>
        <w:rFonts w:hint="default"/>
        <w:lang w:val="zh-CN" w:eastAsia="zh-CN" w:bidi="zh-CN"/>
      </w:rPr>
    </w:lvl>
    <w:lvl w:ilvl="6" w:tentative="0">
      <w:start w:val="0"/>
      <w:numFmt w:val="bullet"/>
      <w:lvlText w:val="•"/>
      <w:lvlJc w:val="left"/>
      <w:pPr>
        <w:ind w:left="5633" w:hanging="646"/>
      </w:pPr>
      <w:rPr>
        <w:rFonts w:hint="default"/>
        <w:lang w:val="zh-CN" w:eastAsia="zh-CN" w:bidi="zh-CN"/>
      </w:rPr>
    </w:lvl>
    <w:lvl w:ilvl="7" w:tentative="0">
      <w:start w:val="0"/>
      <w:numFmt w:val="bullet"/>
      <w:lvlText w:val="•"/>
      <w:lvlJc w:val="left"/>
      <w:pPr>
        <w:ind w:left="6841" w:hanging="646"/>
      </w:pPr>
      <w:rPr>
        <w:rFonts w:hint="default"/>
        <w:lang w:val="zh-CN" w:eastAsia="zh-CN" w:bidi="zh-CN"/>
      </w:rPr>
    </w:lvl>
    <w:lvl w:ilvl="8" w:tentative="0">
      <w:start w:val="0"/>
      <w:numFmt w:val="bullet"/>
      <w:lvlText w:val="•"/>
      <w:lvlJc w:val="left"/>
      <w:pPr>
        <w:ind w:left="8049" w:hanging="646"/>
      </w:pPr>
      <w:rPr>
        <w:rFonts w:hint="default"/>
        <w:lang w:val="zh-CN" w:eastAsia="zh-CN" w:bidi="zh-CN"/>
      </w:rPr>
    </w:lvl>
  </w:abstractNum>
  <w:abstractNum w:abstractNumId="20">
    <w:nsid w:val="2F2D79CE"/>
    <w:multiLevelType w:val="multilevel"/>
    <w:tmpl w:val="2F2D79CE"/>
    <w:lvl w:ilvl="0" w:tentative="0">
      <w:start w:val="1"/>
      <w:numFmt w:val="decimal"/>
      <w:lvlText w:val="%1"/>
      <w:lvlJc w:val="left"/>
      <w:pPr>
        <w:ind w:left="238" w:hanging="529"/>
      </w:pPr>
      <w:rPr>
        <w:rFonts w:hint="default"/>
        <w:lang w:val="zh-CN" w:eastAsia="zh-CN" w:bidi="zh-CN"/>
      </w:rPr>
    </w:lvl>
    <w:lvl w:ilvl="1" w:tentative="0">
      <w:start w:val="7"/>
      <w:numFmt w:val="decimal"/>
      <w:lvlText w:val="%1.%2"/>
      <w:lvlJc w:val="left"/>
      <w:pPr>
        <w:ind w:left="238" w:hanging="529"/>
      </w:pPr>
      <w:rPr>
        <w:rFonts w:hint="default"/>
        <w:lang w:val="zh-CN" w:eastAsia="zh-CN" w:bidi="zh-CN"/>
      </w:rPr>
    </w:lvl>
    <w:lvl w:ilvl="2" w:tentative="0">
      <w:start w:val="1"/>
      <w:numFmt w:val="decimal"/>
      <w:lvlText w:val="%1.%2.%3"/>
      <w:lvlJc w:val="left"/>
      <w:pPr>
        <w:ind w:left="238" w:hanging="529"/>
      </w:pPr>
      <w:rPr>
        <w:rFonts w:hint="default" w:ascii="宋体" w:hAnsi="宋体" w:eastAsia="宋体" w:cs="宋体"/>
        <w:spacing w:val="-1"/>
        <w:w w:val="100"/>
        <w:sz w:val="19"/>
        <w:szCs w:val="19"/>
        <w:lang w:val="zh-CN" w:eastAsia="zh-CN" w:bidi="zh-CN"/>
      </w:rPr>
    </w:lvl>
    <w:lvl w:ilvl="3" w:tentative="0">
      <w:start w:val="0"/>
      <w:numFmt w:val="bullet"/>
      <w:lvlText w:val="•"/>
      <w:lvlJc w:val="left"/>
      <w:pPr>
        <w:ind w:left="3307" w:hanging="529"/>
      </w:pPr>
      <w:rPr>
        <w:rFonts w:hint="default"/>
        <w:lang w:val="zh-CN" w:eastAsia="zh-CN" w:bidi="zh-CN"/>
      </w:rPr>
    </w:lvl>
    <w:lvl w:ilvl="4" w:tentative="0">
      <w:start w:val="0"/>
      <w:numFmt w:val="bullet"/>
      <w:lvlText w:val="•"/>
      <w:lvlJc w:val="left"/>
      <w:pPr>
        <w:ind w:left="4330" w:hanging="529"/>
      </w:pPr>
      <w:rPr>
        <w:rFonts w:hint="default"/>
        <w:lang w:val="zh-CN" w:eastAsia="zh-CN" w:bidi="zh-CN"/>
      </w:rPr>
    </w:lvl>
    <w:lvl w:ilvl="5" w:tentative="0">
      <w:start w:val="0"/>
      <w:numFmt w:val="bullet"/>
      <w:lvlText w:val="•"/>
      <w:lvlJc w:val="left"/>
      <w:pPr>
        <w:ind w:left="5353" w:hanging="529"/>
      </w:pPr>
      <w:rPr>
        <w:rFonts w:hint="default"/>
        <w:lang w:val="zh-CN" w:eastAsia="zh-CN" w:bidi="zh-CN"/>
      </w:rPr>
    </w:lvl>
    <w:lvl w:ilvl="6" w:tentative="0">
      <w:start w:val="0"/>
      <w:numFmt w:val="bullet"/>
      <w:lvlText w:val="•"/>
      <w:lvlJc w:val="left"/>
      <w:pPr>
        <w:ind w:left="6375" w:hanging="529"/>
      </w:pPr>
      <w:rPr>
        <w:rFonts w:hint="default"/>
        <w:lang w:val="zh-CN" w:eastAsia="zh-CN" w:bidi="zh-CN"/>
      </w:rPr>
    </w:lvl>
    <w:lvl w:ilvl="7" w:tentative="0">
      <w:start w:val="0"/>
      <w:numFmt w:val="bullet"/>
      <w:lvlText w:val="•"/>
      <w:lvlJc w:val="left"/>
      <w:pPr>
        <w:ind w:left="7398" w:hanging="529"/>
      </w:pPr>
      <w:rPr>
        <w:rFonts w:hint="default"/>
        <w:lang w:val="zh-CN" w:eastAsia="zh-CN" w:bidi="zh-CN"/>
      </w:rPr>
    </w:lvl>
    <w:lvl w:ilvl="8" w:tentative="0">
      <w:start w:val="0"/>
      <w:numFmt w:val="bullet"/>
      <w:lvlText w:val="•"/>
      <w:lvlJc w:val="left"/>
      <w:pPr>
        <w:ind w:left="8421" w:hanging="529"/>
      </w:pPr>
      <w:rPr>
        <w:rFonts w:hint="default"/>
        <w:lang w:val="zh-CN" w:eastAsia="zh-CN" w:bidi="zh-CN"/>
      </w:rPr>
    </w:lvl>
  </w:abstractNum>
  <w:abstractNum w:abstractNumId="21">
    <w:nsid w:val="4CD1E351"/>
    <w:multiLevelType w:val="multilevel"/>
    <w:tmpl w:val="4CD1E351"/>
    <w:lvl w:ilvl="0" w:tentative="0">
      <w:start w:val="1"/>
      <w:numFmt w:val="decimal"/>
      <w:lvlText w:val="（%1）"/>
      <w:lvlJc w:val="left"/>
      <w:pPr>
        <w:ind w:left="118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08" w:hanging="529"/>
      </w:pPr>
      <w:rPr>
        <w:rFonts w:hint="default"/>
        <w:lang w:val="zh-CN" w:eastAsia="zh-CN" w:bidi="zh-CN"/>
      </w:rPr>
    </w:lvl>
    <w:lvl w:ilvl="2" w:tentative="0">
      <w:start w:val="0"/>
      <w:numFmt w:val="bullet"/>
      <w:lvlText w:val="•"/>
      <w:lvlJc w:val="left"/>
      <w:pPr>
        <w:ind w:left="3037" w:hanging="529"/>
      </w:pPr>
      <w:rPr>
        <w:rFonts w:hint="default"/>
        <w:lang w:val="zh-CN" w:eastAsia="zh-CN" w:bidi="zh-CN"/>
      </w:rPr>
    </w:lvl>
    <w:lvl w:ilvl="3" w:tentative="0">
      <w:start w:val="0"/>
      <w:numFmt w:val="bullet"/>
      <w:lvlText w:val="•"/>
      <w:lvlJc w:val="left"/>
      <w:pPr>
        <w:ind w:left="3965" w:hanging="529"/>
      </w:pPr>
      <w:rPr>
        <w:rFonts w:hint="default"/>
        <w:lang w:val="zh-CN" w:eastAsia="zh-CN" w:bidi="zh-CN"/>
      </w:rPr>
    </w:lvl>
    <w:lvl w:ilvl="4" w:tentative="0">
      <w:start w:val="0"/>
      <w:numFmt w:val="bullet"/>
      <w:lvlText w:val="•"/>
      <w:lvlJc w:val="left"/>
      <w:pPr>
        <w:ind w:left="4894" w:hanging="529"/>
      </w:pPr>
      <w:rPr>
        <w:rFonts w:hint="default"/>
        <w:lang w:val="zh-CN" w:eastAsia="zh-CN" w:bidi="zh-CN"/>
      </w:rPr>
    </w:lvl>
    <w:lvl w:ilvl="5" w:tentative="0">
      <w:start w:val="0"/>
      <w:numFmt w:val="bullet"/>
      <w:lvlText w:val="•"/>
      <w:lvlJc w:val="left"/>
      <w:pPr>
        <w:ind w:left="5823" w:hanging="529"/>
      </w:pPr>
      <w:rPr>
        <w:rFonts w:hint="default"/>
        <w:lang w:val="zh-CN" w:eastAsia="zh-CN" w:bidi="zh-CN"/>
      </w:rPr>
    </w:lvl>
    <w:lvl w:ilvl="6" w:tentative="0">
      <w:start w:val="0"/>
      <w:numFmt w:val="bullet"/>
      <w:lvlText w:val="•"/>
      <w:lvlJc w:val="left"/>
      <w:pPr>
        <w:ind w:left="6751" w:hanging="529"/>
      </w:pPr>
      <w:rPr>
        <w:rFonts w:hint="default"/>
        <w:lang w:val="zh-CN" w:eastAsia="zh-CN" w:bidi="zh-CN"/>
      </w:rPr>
    </w:lvl>
    <w:lvl w:ilvl="7" w:tentative="0">
      <w:start w:val="0"/>
      <w:numFmt w:val="bullet"/>
      <w:lvlText w:val="•"/>
      <w:lvlJc w:val="left"/>
      <w:pPr>
        <w:ind w:left="7680" w:hanging="529"/>
      </w:pPr>
      <w:rPr>
        <w:rFonts w:hint="default"/>
        <w:lang w:val="zh-CN" w:eastAsia="zh-CN" w:bidi="zh-CN"/>
      </w:rPr>
    </w:lvl>
    <w:lvl w:ilvl="8" w:tentative="0">
      <w:start w:val="0"/>
      <w:numFmt w:val="bullet"/>
      <w:lvlText w:val="•"/>
      <w:lvlJc w:val="left"/>
      <w:pPr>
        <w:ind w:left="8609" w:hanging="529"/>
      </w:pPr>
      <w:rPr>
        <w:rFonts w:hint="default"/>
        <w:lang w:val="zh-CN" w:eastAsia="zh-CN" w:bidi="zh-CN"/>
      </w:rPr>
    </w:lvl>
  </w:abstractNum>
  <w:abstractNum w:abstractNumId="22">
    <w:nsid w:val="59EEFD2A"/>
    <w:multiLevelType w:val="multilevel"/>
    <w:tmpl w:val="59EEFD2A"/>
    <w:lvl w:ilvl="0" w:tentative="0">
      <w:start w:val="1"/>
      <w:numFmt w:val="decimal"/>
      <w:lvlText w:val="（%1）"/>
      <w:lvlJc w:val="left"/>
      <w:pPr>
        <w:ind w:left="118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08" w:hanging="529"/>
      </w:pPr>
      <w:rPr>
        <w:rFonts w:hint="default"/>
        <w:lang w:val="zh-CN" w:eastAsia="zh-CN" w:bidi="zh-CN"/>
      </w:rPr>
    </w:lvl>
    <w:lvl w:ilvl="2" w:tentative="0">
      <w:start w:val="0"/>
      <w:numFmt w:val="bullet"/>
      <w:lvlText w:val="•"/>
      <w:lvlJc w:val="left"/>
      <w:pPr>
        <w:ind w:left="3037" w:hanging="529"/>
      </w:pPr>
      <w:rPr>
        <w:rFonts w:hint="default"/>
        <w:lang w:val="zh-CN" w:eastAsia="zh-CN" w:bidi="zh-CN"/>
      </w:rPr>
    </w:lvl>
    <w:lvl w:ilvl="3" w:tentative="0">
      <w:start w:val="0"/>
      <w:numFmt w:val="bullet"/>
      <w:lvlText w:val="•"/>
      <w:lvlJc w:val="left"/>
      <w:pPr>
        <w:ind w:left="3965" w:hanging="529"/>
      </w:pPr>
      <w:rPr>
        <w:rFonts w:hint="default"/>
        <w:lang w:val="zh-CN" w:eastAsia="zh-CN" w:bidi="zh-CN"/>
      </w:rPr>
    </w:lvl>
    <w:lvl w:ilvl="4" w:tentative="0">
      <w:start w:val="0"/>
      <w:numFmt w:val="bullet"/>
      <w:lvlText w:val="•"/>
      <w:lvlJc w:val="left"/>
      <w:pPr>
        <w:ind w:left="4894" w:hanging="529"/>
      </w:pPr>
      <w:rPr>
        <w:rFonts w:hint="default"/>
        <w:lang w:val="zh-CN" w:eastAsia="zh-CN" w:bidi="zh-CN"/>
      </w:rPr>
    </w:lvl>
    <w:lvl w:ilvl="5" w:tentative="0">
      <w:start w:val="0"/>
      <w:numFmt w:val="bullet"/>
      <w:lvlText w:val="•"/>
      <w:lvlJc w:val="left"/>
      <w:pPr>
        <w:ind w:left="5823" w:hanging="529"/>
      </w:pPr>
      <w:rPr>
        <w:rFonts w:hint="default"/>
        <w:lang w:val="zh-CN" w:eastAsia="zh-CN" w:bidi="zh-CN"/>
      </w:rPr>
    </w:lvl>
    <w:lvl w:ilvl="6" w:tentative="0">
      <w:start w:val="0"/>
      <w:numFmt w:val="bullet"/>
      <w:lvlText w:val="•"/>
      <w:lvlJc w:val="left"/>
      <w:pPr>
        <w:ind w:left="6751" w:hanging="529"/>
      </w:pPr>
      <w:rPr>
        <w:rFonts w:hint="default"/>
        <w:lang w:val="zh-CN" w:eastAsia="zh-CN" w:bidi="zh-CN"/>
      </w:rPr>
    </w:lvl>
    <w:lvl w:ilvl="7" w:tentative="0">
      <w:start w:val="0"/>
      <w:numFmt w:val="bullet"/>
      <w:lvlText w:val="•"/>
      <w:lvlJc w:val="left"/>
      <w:pPr>
        <w:ind w:left="7680" w:hanging="529"/>
      </w:pPr>
      <w:rPr>
        <w:rFonts w:hint="default"/>
        <w:lang w:val="zh-CN" w:eastAsia="zh-CN" w:bidi="zh-CN"/>
      </w:rPr>
    </w:lvl>
    <w:lvl w:ilvl="8" w:tentative="0">
      <w:start w:val="0"/>
      <w:numFmt w:val="bullet"/>
      <w:lvlText w:val="•"/>
      <w:lvlJc w:val="left"/>
      <w:pPr>
        <w:ind w:left="8609" w:hanging="529"/>
      </w:pPr>
      <w:rPr>
        <w:rFonts w:hint="default"/>
        <w:lang w:val="zh-CN" w:eastAsia="zh-CN" w:bidi="zh-CN"/>
      </w:rPr>
    </w:lvl>
  </w:abstractNum>
  <w:abstractNum w:abstractNumId="23">
    <w:nsid w:val="606AFB53"/>
    <w:multiLevelType w:val="singleLevel"/>
    <w:tmpl w:val="606AFB53"/>
    <w:lvl w:ilvl="0" w:tentative="0">
      <w:start w:val="2"/>
      <w:numFmt w:val="decimal"/>
      <w:suff w:val="nothing"/>
      <w:lvlText w:val="%1、"/>
      <w:lvlJc w:val="left"/>
    </w:lvl>
  </w:abstractNum>
  <w:abstractNum w:abstractNumId="24">
    <w:nsid w:val="68B298F7"/>
    <w:multiLevelType w:val="multilevel"/>
    <w:tmpl w:val="68B298F7"/>
    <w:lvl w:ilvl="0" w:tentative="0">
      <w:start w:val="5"/>
      <w:numFmt w:val="decimal"/>
      <w:lvlText w:val="%1"/>
      <w:lvlJc w:val="left"/>
      <w:pPr>
        <w:ind w:left="238" w:hanging="529"/>
      </w:pPr>
      <w:rPr>
        <w:rFonts w:hint="default"/>
        <w:lang w:val="zh-CN" w:eastAsia="zh-CN" w:bidi="zh-CN"/>
      </w:rPr>
    </w:lvl>
    <w:lvl w:ilvl="1" w:tentative="0">
      <w:start w:val="1"/>
      <w:numFmt w:val="decimal"/>
      <w:lvlText w:val="%1.%2"/>
      <w:lvlJc w:val="left"/>
      <w:pPr>
        <w:ind w:left="238" w:hanging="529"/>
      </w:pPr>
      <w:rPr>
        <w:rFonts w:hint="default"/>
        <w:lang w:val="zh-CN" w:eastAsia="zh-CN" w:bidi="zh-CN"/>
      </w:rPr>
    </w:lvl>
    <w:lvl w:ilvl="2" w:tentative="0">
      <w:start w:val="4"/>
      <w:numFmt w:val="decimal"/>
      <w:lvlText w:val="%1.%2.%3"/>
      <w:lvlJc w:val="left"/>
      <w:pPr>
        <w:ind w:left="210" w:hanging="529"/>
        <w:jc w:val="right"/>
      </w:pPr>
      <w:rPr>
        <w:rFonts w:hint="default" w:ascii="宋体" w:hAnsi="宋体" w:eastAsia="宋体" w:cs="宋体"/>
        <w:w w:val="100"/>
        <w:sz w:val="19"/>
        <w:szCs w:val="19"/>
        <w:lang w:val="zh-CN" w:eastAsia="zh-CN" w:bidi="zh-CN"/>
      </w:rPr>
    </w:lvl>
    <w:lvl w:ilvl="3" w:tentative="0">
      <w:start w:val="0"/>
      <w:numFmt w:val="bullet"/>
      <w:lvlText w:val="•"/>
      <w:lvlJc w:val="left"/>
      <w:pPr>
        <w:ind w:left="3307" w:hanging="529"/>
      </w:pPr>
      <w:rPr>
        <w:rFonts w:hint="default"/>
        <w:lang w:val="zh-CN" w:eastAsia="zh-CN" w:bidi="zh-CN"/>
      </w:rPr>
    </w:lvl>
    <w:lvl w:ilvl="4" w:tentative="0">
      <w:start w:val="0"/>
      <w:numFmt w:val="bullet"/>
      <w:lvlText w:val="•"/>
      <w:lvlJc w:val="left"/>
      <w:pPr>
        <w:ind w:left="4330" w:hanging="529"/>
      </w:pPr>
      <w:rPr>
        <w:rFonts w:hint="default"/>
        <w:lang w:val="zh-CN" w:eastAsia="zh-CN" w:bidi="zh-CN"/>
      </w:rPr>
    </w:lvl>
    <w:lvl w:ilvl="5" w:tentative="0">
      <w:start w:val="0"/>
      <w:numFmt w:val="bullet"/>
      <w:lvlText w:val="•"/>
      <w:lvlJc w:val="left"/>
      <w:pPr>
        <w:ind w:left="5353" w:hanging="529"/>
      </w:pPr>
      <w:rPr>
        <w:rFonts w:hint="default"/>
        <w:lang w:val="zh-CN" w:eastAsia="zh-CN" w:bidi="zh-CN"/>
      </w:rPr>
    </w:lvl>
    <w:lvl w:ilvl="6" w:tentative="0">
      <w:start w:val="0"/>
      <w:numFmt w:val="bullet"/>
      <w:lvlText w:val="•"/>
      <w:lvlJc w:val="left"/>
      <w:pPr>
        <w:ind w:left="6375" w:hanging="529"/>
      </w:pPr>
      <w:rPr>
        <w:rFonts w:hint="default"/>
        <w:lang w:val="zh-CN" w:eastAsia="zh-CN" w:bidi="zh-CN"/>
      </w:rPr>
    </w:lvl>
    <w:lvl w:ilvl="7" w:tentative="0">
      <w:start w:val="0"/>
      <w:numFmt w:val="bullet"/>
      <w:lvlText w:val="•"/>
      <w:lvlJc w:val="left"/>
      <w:pPr>
        <w:ind w:left="7398" w:hanging="529"/>
      </w:pPr>
      <w:rPr>
        <w:rFonts w:hint="default"/>
        <w:lang w:val="zh-CN" w:eastAsia="zh-CN" w:bidi="zh-CN"/>
      </w:rPr>
    </w:lvl>
    <w:lvl w:ilvl="8" w:tentative="0">
      <w:start w:val="0"/>
      <w:numFmt w:val="bullet"/>
      <w:lvlText w:val="•"/>
      <w:lvlJc w:val="left"/>
      <w:pPr>
        <w:ind w:left="8421" w:hanging="529"/>
      </w:pPr>
      <w:rPr>
        <w:rFonts w:hint="default"/>
        <w:lang w:val="zh-CN" w:eastAsia="zh-CN" w:bidi="zh-CN"/>
      </w:rPr>
    </w:lvl>
  </w:abstractNum>
  <w:abstractNum w:abstractNumId="25">
    <w:nsid w:val="7740CD31"/>
    <w:multiLevelType w:val="singleLevel"/>
    <w:tmpl w:val="7740CD31"/>
    <w:lvl w:ilvl="0" w:tentative="0">
      <w:start w:val="2"/>
      <w:numFmt w:val="decimal"/>
      <w:suff w:val="nothing"/>
      <w:lvlText w:val="%1、"/>
      <w:lvlJc w:val="left"/>
    </w:lvl>
  </w:abstractNum>
  <w:abstractNum w:abstractNumId="26">
    <w:nsid w:val="77633216"/>
    <w:multiLevelType w:val="multilevel"/>
    <w:tmpl w:val="77633216"/>
    <w:lvl w:ilvl="0" w:tentative="0">
      <w:start w:val="1"/>
      <w:numFmt w:val="decimal"/>
      <w:lvlText w:val="%1"/>
      <w:lvlJc w:val="left"/>
      <w:pPr>
        <w:ind w:left="1180" w:hanging="529"/>
      </w:pPr>
      <w:rPr>
        <w:rFonts w:hint="default"/>
        <w:lang w:val="zh-CN" w:eastAsia="zh-CN" w:bidi="zh-CN"/>
      </w:rPr>
    </w:lvl>
    <w:lvl w:ilvl="1" w:tentative="0">
      <w:start w:val="1"/>
      <w:numFmt w:val="decimal"/>
      <w:lvlText w:val="%1.%2"/>
      <w:lvlJc w:val="left"/>
      <w:pPr>
        <w:ind w:left="1180" w:hanging="529"/>
      </w:pPr>
      <w:rPr>
        <w:rFonts w:hint="default"/>
        <w:lang w:val="zh-CN" w:eastAsia="zh-CN" w:bidi="zh-CN"/>
      </w:rPr>
    </w:lvl>
    <w:lvl w:ilvl="2" w:tentative="0">
      <w:start w:val="2"/>
      <w:numFmt w:val="decimal"/>
      <w:lvlText w:val="%1.%2.%3"/>
      <w:lvlJc w:val="left"/>
      <w:pPr>
        <w:ind w:left="1180" w:hanging="529"/>
      </w:pPr>
      <w:rPr>
        <w:rFonts w:hint="default" w:ascii="宋体" w:hAnsi="宋体" w:eastAsia="宋体" w:cs="宋体"/>
        <w:w w:val="100"/>
        <w:sz w:val="19"/>
        <w:szCs w:val="19"/>
        <w:lang w:val="zh-CN" w:eastAsia="zh-CN" w:bidi="zh-CN"/>
      </w:rPr>
    </w:lvl>
    <w:lvl w:ilvl="3" w:tentative="0">
      <w:start w:val="1"/>
      <w:numFmt w:val="decimal"/>
      <w:lvlText w:val="%1.%2.%3.%4"/>
      <w:lvlJc w:val="left"/>
      <w:pPr>
        <w:ind w:left="1396" w:hanging="738"/>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3666" w:hanging="738"/>
      </w:pPr>
      <w:rPr>
        <w:rFonts w:hint="default"/>
        <w:lang w:val="zh-CN" w:eastAsia="zh-CN" w:bidi="zh-CN"/>
      </w:rPr>
    </w:lvl>
    <w:lvl w:ilvl="5" w:tentative="0">
      <w:start w:val="0"/>
      <w:numFmt w:val="bullet"/>
      <w:lvlText w:val="•"/>
      <w:lvlJc w:val="left"/>
      <w:pPr>
        <w:ind w:left="4799" w:hanging="738"/>
      </w:pPr>
      <w:rPr>
        <w:rFonts w:hint="default"/>
        <w:lang w:val="zh-CN" w:eastAsia="zh-CN" w:bidi="zh-CN"/>
      </w:rPr>
    </w:lvl>
    <w:lvl w:ilvl="6" w:tentative="0">
      <w:start w:val="0"/>
      <w:numFmt w:val="bullet"/>
      <w:lvlText w:val="•"/>
      <w:lvlJc w:val="left"/>
      <w:pPr>
        <w:ind w:left="5933" w:hanging="738"/>
      </w:pPr>
      <w:rPr>
        <w:rFonts w:hint="default"/>
        <w:lang w:val="zh-CN" w:eastAsia="zh-CN" w:bidi="zh-CN"/>
      </w:rPr>
    </w:lvl>
    <w:lvl w:ilvl="7" w:tentative="0">
      <w:start w:val="0"/>
      <w:numFmt w:val="bullet"/>
      <w:lvlText w:val="•"/>
      <w:lvlJc w:val="left"/>
      <w:pPr>
        <w:ind w:left="7066" w:hanging="738"/>
      </w:pPr>
      <w:rPr>
        <w:rFonts w:hint="default"/>
        <w:lang w:val="zh-CN" w:eastAsia="zh-CN" w:bidi="zh-CN"/>
      </w:rPr>
    </w:lvl>
    <w:lvl w:ilvl="8" w:tentative="0">
      <w:start w:val="0"/>
      <w:numFmt w:val="bullet"/>
      <w:lvlText w:val="•"/>
      <w:lvlJc w:val="left"/>
      <w:pPr>
        <w:ind w:left="8199" w:hanging="738"/>
      </w:pPr>
      <w:rPr>
        <w:rFonts w:hint="default"/>
        <w:lang w:val="zh-CN" w:eastAsia="zh-CN" w:bidi="zh-CN"/>
      </w:rPr>
    </w:lvl>
  </w:abstractNum>
  <w:num w:numId="1">
    <w:abstractNumId w:val="17"/>
  </w:num>
  <w:num w:numId="2">
    <w:abstractNumId w:val="25"/>
  </w:num>
  <w:num w:numId="3">
    <w:abstractNumId w:val="23"/>
  </w:num>
  <w:num w:numId="4">
    <w:abstractNumId w:val="12"/>
  </w:num>
  <w:num w:numId="5">
    <w:abstractNumId w:val="5"/>
  </w:num>
  <w:num w:numId="6">
    <w:abstractNumId w:val="26"/>
  </w:num>
  <w:num w:numId="7">
    <w:abstractNumId w:val="15"/>
  </w:num>
  <w:num w:numId="8">
    <w:abstractNumId w:val="8"/>
  </w:num>
  <w:num w:numId="9">
    <w:abstractNumId w:val="20"/>
  </w:num>
  <w:num w:numId="10">
    <w:abstractNumId w:val="16"/>
  </w:num>
  <w:num w:numId="11">
    <w:abstractNumId w:val="3"/>
  </w:num>
  <w:num w:numId="12">
    <w:abstractNumId w:val="22"/>
  </w:num>
  <w:num w:numId="13">
    <w:abstractNumId w:val="10"/>
  </w:num>
  <w:num w:numId="14">
    <w:abstractNumId w:val="7"/>
  </w:num>
  <w:num w:numId="15">
    <w:abstractNumId w:val="2"/>
  </w:num>
  <w:num w:numId="16">
    <w:abstractNumId w:val="4"/>
  </w:num>
  <w:num w:numId="17">
    <w:abstractNumId w:val="6"/>
  </w:num>
  <w:num w:numId="18">
    <w:abstractNumId w:val="1"/>
  </w:num>
  <w:num w:numId="19">
    <w:abstractNumId w:val="19"/>
  </w:num>
  <w:num w:numId="20">
    <w:abstractNumId w:val="11"/>
  </w:num>
  <w:num w:numId="21">
    <w:abstractNumId w:val="18"/>
  </w:num>
  <w:num w:numId="22">
    <w:abstractNumId w:val="14"/>
  </w:num>
  <w:num w:numId="23">
    <w:abstractNumId w:val="24"/>
  </w:num>
  <w:num w:numId="24">
    <w:abstractNumId w:val="0"/>
  </w:num>
  <w:num w:numId="25">
    <w:abstractNumId w:val="9"/>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A3ZjAxMzY3YmIwNmVmN2M5ZWUxZjUzMzY5OGE4MjEifQ=="/>
  </w:docVars>
  <w:rsids>
    <w:rsidRoot w:val="00172A27"/>
    <w:rsid w:val="000120AC"/>
    <w:rsid w:val="000145D1"/>
    <w:rsid w:val="00015C71"/>
    <w:rsid w:val="000271A7"/>
    <w:rsid w:val="00042454"/>
    <w:rsid w:val="00053B80"/>
    <w:rsid w:val="00053F56"/>
    <w:rsid w:val="00057B34"/>
    <w:rsid w:val="0006429A"/>
    <w:rsid w:val="00066BCF"/>
    <w:rsid w:val="0007068B"/>
    <w:rsid w:val="0007438F"/>
    <w:rsid w:val="00083A3D"/>
    <w:rsid w:val="00085013"/>
    <w:rsid w:val="0008734A"/>
    <w:rsid w:val="00091912"/>
    <w:rsid w:val="00092365"/>
    <w:rsid w:val="00095459"/>
    <w:rsid w:val="000969AD"/>
    <w:rsid w:val="000A18AA"/>
    <w:rsid w:val="000A3D75"/>
    <w:rsid w:val="000D72BD"/>
    <w:rsid w:val="000E215B"/>
    <w:rsid w:val="000E29A9"/>
    <w:rsid w:val="000F6DD6"/>
    <w:rsid w:val="0010048A"/>
    <w:rsid w:val="00102BDC"/>
    <w:rsid w:val="00111AA2"/>
    <w:rsid w:val="00117F05"/>
    <w:rsid w:val="0012040D"/>
    <w:rsid w:val="001252D5"/>
    <w:rsid w:val="001260B2"/>
    <w:rsid w:val="00135355"/>
    <w:rsid w:val="001431BC"/>
    <w:rsid w:val="00146D70"/>
    <w:rsid w:val="00156254"/>
    <w:rsid w:val="001723C8"/>
    <w:rsid w:val="00172A27"/>
    <w:rsid w:val="001903C6"/>
    <w:rsid w:val="001A3254"/>
    <w:rsid w:val="001B57E1"/>
    <w:rsid w:val="001C47BA"/>
    <w:rsid w:val="001C6B89"/>
    <w:rsid w:val="00206019"/>
    <w:rsid w:val="0021447E"/>
    <w:rsid w:val="002175D2"/>
    <w:rsid w:val="00222133"/>
    <w:rsid w:val="00230806"/>
    <w:rsid w:val="00230AFD"/>
    <w:rsid w:val="00232B23"/>
    <w:rsid w:val="00237B8A"/>
    <w:rsid w:val="0024002C"/>
    <w:rsid w:val="0025494F"/>
    <w:rsid w:val="002656AE"/>
    <w:rsid w:val="00281CBF"/>
    <w:rsid w:val="002908AE"/>
    <w:rsid w:val="00295D2C"/>
    <w:rsid w:val="002A2A22"/>
    <w:rsid w:val="002A5B98"/>
    <w:rsid w:val="002C2CAF"/>
    <w:rsid w:val="002C3E11"/>
    <w:rsid w:val="002D508E"/>
    <w:rsid w:val="002D53B9"/>
    <w:rsid w:val="002D677B"/>
    <w:rsid w:val="002E54B3"/>
    <w:rsid w:val="002F5374"/>
    <w:rsid w:val="002F5CAB"/>
    <w:rsid w:val="00314F50"/>
    <w:rsid w:val="00330EA8"/>
    <w:rsid w:val="003342EF"/>
    <w:rsid w:val="00337DCA"/>
    <w:rsid w:val="00341CB0"/>
    <w:rsid w:val="003452C5"/>
    <w:rsid w:val="00350E5F"/>
    <w:rsid w:val="00370F26"/>
    <w:rsid w:val="003808D6"/>
    <w:rsid w:val="00385D3E"/>
    <w:rsid w:val="003A03AB"/>
    <w:rsid w:val="003E0B3C"/>
    <w:rsid w:val="003E7C3B"/>
    <w:rsid w:val="00410AD8"/>
    <w:rsid w:val="00413100"/>
    <w:rsid w:val="00424DA5"/>
    <w:rsid w:val="00425C52"/>
    <w:rsid w:val="004413B4"/>
    <w:rsid w:val="00453F7D"/>
    <w:rsid w:val="00480966"/>
    <w:rsid w:val="004A2AC5"/>
    <w:rsid w:val="004A45A4"/>
    <w:rsid w:val="004C64FF"/>
    <w:rsid w:val="004D5F5D"/>
    <w:rsid w:val="004F279A"/>
    <w:rsid w:val="0050472D"/>
    <w:rsid w:val="005236AE"/>
    <w:rsid w:val="00524579"/>
    <w:rsid w:val="00524A87"/>
    <w:rsid w:val="00533AAE"/>
    <w:rsid w:val="00554CE3"/>
    <w:rsid w:val="005710D8"/>
    <w:rsid w:val="005A03E4"/>
    <w:rsid w:val="005B04B8"/>
    <w:rsid w:val="005E38A4"/>
    <w:rsid w:val="005E56CC"/>
    <w:rsid w:val="005E754A"/>
    <w:rsid w:val="00633526"/>
    <w:rsid w:val="00654D2C"/>
    <w:rsid w:val="00661562"/>
    <w:rsid w:val="00682117"/>
    <w:rsid w:val="0068795B"/>
    <w:rsid w:val="00695280"/>
    <w:rsid w:val="006B21E7"/>
    <w:rsid w:val="006D3DB9"/>
    <w:rsid w:val="006E5D34"/>
    <w:rsid w:val="006F01D1"/>
    <w:rsid w:val="006F3D3E"/>
    <w:rsid w:val="006F49EE"/>
    <w:rsid w:val="00703A7D"/>
    <w:rsid w:val="007045A4"/>
    <w:rsid w:val="00715AE4"/>
    <w:rsid w:val="0073207C"/>
    <w:rsid w:val="007550DC"/>
    <w:rsid w:val="00766A44"/>
    <w:rsid w:val="00767BB2"/>
    <w:rsid w:val="00777046"/>
    <w:rsid w:val="00784363"/>
    <w:rsid w:val="0078488E"/>
    <w:rsid w:val="00790BD6"/>
    <w:rsid w:val="0079235B"/>
    <w:rsid w:val="007A4EEE"/>
    <w:rsid w:val="007B00FB"/>
    <w:rsid w:val="007E5141"/>
    <w:rsid w:val="007F2C26"/>
    <w:rsid w:val="007F3323"/>
    <w:rsid w:val="007F72E0"/>
    <w:rsid w:val="00802679"/>
    <w:rsid w:val="00805C7B"/>
    <w:rsid w:val="00810784"/>
    <w:rsid w:val="00821EE8"/>
    <w:rsid w:val="0083393B"/>
    <w:rsid w:val="008448CD"/>
    <w:rsid w:val="0086536B"/>
    <w:rsid w:val="0089296C"/>
    <w:rsid w:val="008A6D3D"/>
    <w:rsid w:val="008B0E3B"/>
    <w:rsid w:val="008B6C36"/>
    <w:rsid w:val="008C0ED2"/>
    <w:rsid w:val="008D216E"/>
    <w:rsid w:val="008D283D"/>
    <w:rsid w:val="008E0D41"/>
    <w:rsid w:val="00922A63"/>
    <w:rsid w:val="00923F8C"/>
    <w:rsid w:val="00925990"/>
    <w:rsid w:val="00940C0D"/>
    <w:rsid w:val="00942328"/>
    <w:rsid w:val="0094320A"/>
    <w:rsid w:val="009628D2"/>
    <w:rsid w:val="00964C0F"/>
    <w:rsid w:val="0097577C"/>
    <w:rsid w:val="00980525"/>
    <w:rsid w:val="009B5EF1"/>
    <w:rsid w:val="009D0332"/>
    <w:rsid w:val="009D45BB"/>
    <w:rsid w:val="00A051CF"/>
    <w:rsid w:val="00A12E92"/>
    <w:rsid w:val="00A14F6A"/>
    <w:rsid w:val="00A17EB8"/>
    <w:rsid w:val="00A2462A"/>
    <w:rsid w:val="00A27C2C"/>
    <w:rsid w:val="00A301BA"/>
    <w:rsid w:val="00A3443C"/>
    <w:rsid w:val="00A364B9"/>
    <w:rsid w:val="00A5114C"/>
    <w:rsid w:val="00A52EA8"/>
    <w:rsid w:val="00A612D2"/>
    <w:rsid w:val="00A7302C"/>
    <w:rsid w:val="00A74097"/>
    <w:rsid w:val="00A74C0B"/>
    <w:rsid w:val="00A85BA0"/>
    <w:rsid w:val="00A95755"/>
    <w:rsid w:val="00A957C6"/>
    <w:rsid w:val="00A966A5"/>
    <w:rsid w:val="00AA5057"/>
    <w:rsid w:val="00AB51D7"/>
    <w:rsid w:val="00AC4741"/>
    <w:rsid w:val="00AD100F"/>
    <w:rsid w:val="00B00630"/>
    <w:rsid w:val="00B05A63"/>
    <w:rsid w:val="00B21075"/>
    <w:rsid w:val="00B27CFD"/>
    <w:rsid w:val="00B4726F"/>
    <w:rsid w:val="00B57818"/>
    <w:rsid w:val="00B578EB"/>
    <w:rsid w:val="00B7616C"/>
    <w:rsid w:val="00B80346"/>
    <w:rsid w:val="00BA10A8"/>
    <w:rsid w:val="00BA136D"/>
    <w:rsid w:val="00BA3764"/>
    <w:rsid w:val="00BB63DF"/>
    <w:rsid w:val="00BB7605"/>
    <w:rsid w:val="00BC2739"/>
    <w:rsid w:val="00BC2D78"/>
    <w:rsid w:val="00BC5045"/>
    <w:rsid w:val="00C0313E"/>
    <w:rsid w:val="00C35B5F"/>
    <w:rsid w:val="00C4377A"/>
    <w:rsid w:val="00C5087F"/>
    <w:rsid w:val="00C56F48"/>
    <w:rsid w:val="00C6343E"/>
    <w:rsid w:val="00C64DDB"/>
    <w:rsid w:val="00C71EC0"/>
    <w:rsid w:val="00C72D9C"/>
    <w:rsid w:val="00C734AB"/>
    <w:rsid w:val="00C84AAC"/>
    <w:rsid w:val="00C97CD9"/>
    <w:rsid w:val="00CA32AE"/>
    <w:rsid w:val="00CA60CE"/>
    <w:rsid w:val="00CB2CE0"/>
    <w:rsid w:val="00CE1386"/>
    <w:rsid w:val="00CE28E9"/>
    <w:rsid w:val="00CE3BB4"/>
    <w:rsid w:val="00CF10C1"/>
    <w:rsid w:val="00CF3743"/>
    <w:rsid w:val="00D027C9"/>
    <w:rsid w:val="00D13AEE"/>
    <w:rsid w:val="00D16453"/>
    <w:rsid w:val="00D175FB"/>
    <w:rsid w:val="00D2401D"/>
    <w:rsid w:val="00D33ECF"/>
    <w:rsid w:val="00D429C1"/>
    <w:rsid w:val="00D6083A"/>
    <w:rsid w:val="00DA1E4E"/>
    <w:rsid w:val="00DA2C77"/>
    <w:rsid w:val="00DA578E"/>
    <w:rsid w:val="00DC1314"/>
    <w:rsid w:val="00DC653F"/>
    <w:rsid w:val="00DD1C69"/>
    <w:rsid w:val="00DD2C6C"/>
    <w:rsid w:val="00DE18CD"/>
    <w:rsid w:val="00DF7DF4"/>
    <w:rsid w:val="00E119E3"/>
    <w:rsid w:val="00E15875"/>
    <w:rsid w:val="00E20914"/>
    <w:rsid w:val="00E231B2"/>
    <w:rsid w:val="00E55D55"/>
    <w:rsid w:val="00E617E1"/>
    <w:rsid w:val="00E848B5"/>
    <w:rsid w:val="00E912B4"/>
    <w:rsid w:val="00EA3497"/>
    <w:rsid w:val="00EB3BD8"/>
    <w:rsid w:val="00EE11E5"/>
    <w:rsid w:val="00EE4358"/>
    <w:rsid w:val="00EE5630"/>
    <w:rsid w:val="00EF2195"/>
    <w:rsid w:val="00EF3C5F"/>
    <w:rsid w:val="00F05A49"/>
    <w:rsid w:val="00F1594F"/>
    <w:rsid w:val="00F22829"/>
    <w:rsid w:val="00F31F25"/>
    <w:rsid w:val="00F40445"/>
    <w:rsid w:val="00F43B03"/>
    <w:rsid w:val="00F464A7"/>
    <w:rsid w:val="00F564DA"/>
    <w:rsid w:val="00F64830"/>
    <w:rsid w:val="00F74BC0"/>
    <w:rsid w:val="00F76D41"/>
    <w:rsid w:val="00F91C4B"/>
    <w:rsid w:val="00F927C2"/>
    <w:rsid w:val="00FA1EEE"/>
    <w:rsid w:val="00FA35DA"/>
    <w:rsid w:val="00FB29F0"/>
    <w:rsid w:val="00FC1D08"/>
    <w:rsid w:val="00FC79F6"/>
    <w:rsid w:val="00FF1C7C"/>
    <w:rsid w:val="01633AF6"/>
    <w:rsid w:val="01787946"/>
    <w:rsid w:val="017E1B19"/>
    <w:rsid w:val="017E6987"/>
    <w:rsid w:val="01993D60"/>
    <w:rsid w:val="01ED3B47"/>
    <w:rsid w:val="024B6E08"/>
    <w:rsid w:val="03062E20"/>
    <w:rsid w:val="032F672A"/>
    <w:rsid w:val="03433F84"/>
    <w:rsid w:val="03B22505"/>
    <w:rsid w:val="03EC0177"/>
    <w:rsid w:val="04067181"/>
    <w:rsid w:val="04103CCA"/>
    <w:rsid w:val="043D4E77"/>
    <w:rsid w:val="04A06B9C"/>
    <w:rsid w:val="04EE7346"/>
    <w:rsid w:val="05032E3F"/>
    <w:rsid w:val="05045387"/>
    <w:rsid w:val="05104E6D"/>
    <w:rsid w:val="0549044B"/>
    <w:rsid w:val="05ED76CD"/>
    <w:rsid w:val="05F35C4C"/>
    <w:rsid w:val="05F410AA"/>
    <w:rsid w:val="05F973B1"/>
    <w:rsid w:val="06262FF6"/>
    <w:rsid w:val="065772B0"/>
    <w:rsid w:val="07267565"/>
    <w:rsid w:val="073C7668"/>
    <w:rsid w:val="07442078"/>
    <w:rsid w:val="078C18B4"/>
    <w:rsid w:val="079D7527"/>
    <w:rsid w:val="07A20F5E"/>
    <w:rsid w:val="07F81AAA"/>
    <w:rsid w:val="08531B86"/>
    <w:rsid w:val="085D4882"/>
    <w:rsid w:val="0861256E"/>
    <w:rsid w:val="08A90D2D"/>
    <w:rsid w:val="09047756"/>
    <w:rsid w:val="090A2FCF"/>
    <w:rsid w:val="095F7F4C"/>
    <w:rsid w:val="099C4093"/>
    <w:rsid w:val="09A60123"/>
    <w:rsid w:val="09AE75F4"/>
    <w:rsid w:val="09B95F2A"/>
    <w:rsid w:val="09CA0A04"/>
    <w:rsid w:val="09CE2D8D"/>
    <w:rsid w:val="09EB0ED1"/>
    <w:rsid w:val="0A0C7574"/>
    <w:rsid w:val="0A1044A4"/>
    <w:rsid w:val="0A15157F"/>
    <w:rsid w:val="0A424E4D"/>
    <w:rsid w:val="0A5151D8"/>
    <w:rsid w:val="0A546A76"/>
    <w:rsid w:val="0A795707"/>
    <w:rsid w:val="0A8E3333"/>
    <w:rsid w:val="0AF05081"/>
    <w:rsid w:val="0AF82AC1"/>
    <w:rsid w:val="0B492353"/>
    <w:rsid w:val="0B66533A"/>
    <w:rsid w:val="0B84414D"/>
    <w:rsid w:val="0BBC2E0F"/>
    <w:rsid w:val="0BD46BAD"/>
    <w:rsid w:val="0BE120B2"/>
    <w:rsid w:val="0C01678A"/>
    <w:rsid w:val="0C1110C3"/>
    <w:rsid w:val="0C161D37"/>
    <w:rsid w:val="0C874EE1"/>
    <w:rsid w:val="0CEC43CA"/>
    <w:rsid w:val="0CEF17A5"/>
    <w:rsid w:val="0D50431A"/>
    <w:rsid w:val="0D584706"/>
    <w:rsid w:val="0D6671EC"/>
    <w:rsid w:val="0DF624E0"/>
    <w:rsid w:val="0E080788"/>
    <w:rsid w:val="0E346850"/>
    <w:rsid w:val="0E404088"/>
    <w:rsid w:val="0E417312"/>
    <w:rsid w:val="0EA113FA"/>
    <w:rsid w:val="0EA13612"/>
    <w:rsid w:val="0EA33B28"/>
    <w:rsid w:val="0ECA11CC"/>
    <w:rsid w:val="0F390E8E"/>
    <w:rsid w:val="0F753717"/>
    <w:rsid w:val="0F8F57EF"/>
    <w:rsid w:val="0FC465FA"/>
    <w:rsid w:val="0FDC5544"/>
    <w:rsid w:val="0FF97625"/>
    <w:rsid w:val="1018304A"/>
    <w:rsid w:val="10AD6EE0"/>
    <w:rsid w:val="110475FD"/>
    <w:rsid w:val="114950F1"/>
    <w:rsid w:val="117A66E4"/>
    <w:rsid w:val="119066D9"/>
    <w:rsid w:val="11A335B5"/>
    <w:rsid w:val="11C049F1"/>
    <w:rsid w:val="11CC0BDA"/>
    <w:rsid w:val="11D51853"/>
    <w:rsid w:val="1219428E"/>
    <w:rsid w:val="12381CAB"/>
    <w:rsid w:val="12E260D8"/>
    <w:rsid w:val="130152C1"/>
    <w:rsid w:val="13490C7D"/>
    <w:rsid w:val="135C3D02"/>
    <w:rsid w:val="139A199E"/>
    <w:rsid w:val="13D52CCE"/>
    <w:rsid w:val="14861F22"/>
    <w:rsid w:val="14E27C21"/>
    <w:rsid w:val="153B2049"/>
    <w:rsid w:val="15496483"/>
    <w:rsid w:val="15614DA8"/>
    <w:rsid w:val="15AD79BC"/>
    <w:rsid w:val="16066864"/>
    <w:rsid w:val="167364D6"/>
    <w:rsid w:val="16991EF7"/>
    <w:rsid w:val="16BE59A3"/>
    <w:rsid w:val="16C46D32"/>
    <w:rsid w:val="1709162A"/>
    <w:rsid w:val="173850A7"/>
    <w:rsid w:val="17474328"/>
    <w:rsid w:val="174C0AC9"/>
    <w:rsid w:val="176F4EEF"/>
    <w:rsid w:val="177B4CDC"/>
    <w:rsid w:val="17BA7FA6"/>
    <w:rsid w:val="17C81174"/>
    <w:rsid w:val="181F67C3"/>
    <w:rsid w:val="184F0509"/>
    <w:rsid w:val="1868211E"/>
    <w:rsid w:val="18FD74C3"/>
    <w:rsid w:val="191C10A7"/>
    <w:rsid w:val="19241959"/>
    <w:rsid w:val="192B2CC7"/>
    <w:rsid w:val="193C2941"/>
    <w:rsid w:val="19614D0C"/>
    <w:rsid w:val="198B1495"/>
    <w:rsid w:val="19981297"/>
    <w:rsid w:val="199A3C4D"/>
    <w:rsid w:val="1A467531"/>
    <w:rsid w:val="1A6C248D"/>
    <w:rsid w:val="1A7F369B"/>
    <w:rsid w:val="1A8C55EC"/>
    <w:rsid w:val="1AEB011B"/>
    <w:rsid w:val="1AF45622"/>
    <w:rsid w:val="1B192894"/>
    <w:rsid w:val="1B5A7D5C"/>
    <w:rsid w:val="1B6F3710"/>
    <w:rsid w:val="1B7B26E1"/>
    <w:rsid w:val="1BBFA30C"/>
    <w:rsid w:val="1C1A0C17"/>
    <w:rsid w:val="1C32741A"/>
    <w:rsid w:val="1C405AE5"/>
    <w:rsid w:val="1CA90EA4"/>
    <w:rsid w:val="1D8965DF"/>
    <w:rsid w:val="1D8E57D2"/>
    <w:rsid w:val="1D91366D"/>
    <w:rsid w:val="1D960483"/>
    <w:rsid w:val="1DF15284"/>
    <w:rsid w:val="1DF95513"/>
    <w:rsid w:val="1E5135A1"/>
    <w:rsid w:val="1EF15706"/>
    <w:rsid w:val="1F073C5F"/>
    <w:rsid w:val="1F171CFB"/>
    <w:rsid w:val="1F3C13B6"/>
    <w:rsid w:val="1F4B49D6"/>
    <w:rsid w:val="1FF85069"/>
    <w:rsid w:val="200A3A07"/>
    <w:rsid w:val="20F41885"/>
    <w:rsid w:val="212611D2"/>
    <w:rsid w:val="21354AB4"/>
    <w:rsid w:val="21494A03"/>
    <w:rsid w:val="21944D74"/>
    <w:rsid w:val="21993B18"/>
    <w:rsid w:val="219959F5"/>
    <w:rsid w:val="21CD28FA"/>
    <w:rsid w:val="223236E9"/>
    <w:rsid w:val="22464B8D"/>
    <w:rsid w:val="225464D8"/>
    <w:rsid w:val="226513C9"/>
    <w:rsid w:val="229A201B"/>
    <w:rsid w:val="229E0D7F"/>
    <w:rsid w:val="22D622C7"/>
    <w:rsid w:val="233B1381"/>
    <w:rsid w:val="233F1DB4"/>
    <w:rsid w:val="239974D6"/>
    <w:rsid w:val="23AE5B30"/>
    <w:rsid w:val="23E266D0"/>
    <w:rsid w:val="23E4618A"/>
    <w:rsid w:val="244B170F"/>
    <w:rsid w:val="244E3D8C"/>
    <w:rsid w:val="247973AD"/>
    <w:rsid w:val="24B335CE"/>
    <w:rsid w:val="24F11BE1"/>
    <w:rsid w:val="25030EBC"/>
    <w:rsid w:val="25EF0E4B"/>
    <w:rsid w:val="263225BB"/>
    <w:rsid w:val="269C26E3"/>
    <w:rsid w:val="26E0209C"/>
    <w:rsid w:val="27110C4C"/>
    <w:rsid w:val="271B0BF0"/>
    <w:rsid w:val="27263790"/>
    <w:rsid w:val="272E2D63"/>
    <w:rsid w:val="27410CB9"/>
    <w:rsid w:val="276D441A"/>
    <w:rsid w:val="27A504B9"/>
    <w:rsid w:val="27B64475"/>
    <w:rsid w:val="28292E99"/>
    <w:rsid w:val="2861396F"/>
    <w:rsid w:val="28B44010"/>
    <w:rsid w:val="28C42247"/>
    <w:rsid w:val="2938125A"/>
    <w:rsid w:val="29384EA8"/>
    <w:rsid w:val="29580844"/>
    <w:rsid w:val="29905E04"/>
    <w:rsid w:val="29E26463"/>
    <w:rsid w:val="29FF7471"/>
    <w:rsid w:val="2A023B5C"/>
    <w:rsid w:val="2A07065D"/>
    <w:rsid w:val="2A0A08C3"/>
    <w:rsid w:val="2A534564"/>
    <w:rsid w:val="2A573A70"/>
    <w:rsid w:val="2A77613D"/>
    <w:rsid w:val="2A930A9D"/>
    <w:rsid w:val="2C602C01"/>
    <w:rsid w:val="2C781ABD"/>
    <w:rsid w:val="2C830311"/>
    <w:rsid w:val="2CBD48CE"/>
    <w:rsid w:val="2CC52C95"/>
    <w:rsid w:val="2CE211B2"/>
    <w:rsid w:val="2D4A0B33"/>
    <w:rsid w:val="2D960FD0"/>
    <w:rsid w:val="2E015B36"/>
    <w:rsid w:val="2E275F81"/>
    <w:rsid w:val="2E4E51C2"/>
    <w:rsid w:val="2E77681E"/>
    <w:rsid w:val="2E9B19E7"/>
    <w:rsid w:val="2EE61893"/>
    <w:rsid w:val="2F07793D"/>
    <w:rsid w:val="2F4B2B19"/>
    <w:rsid w:val="2F6246CC"/>
    <w:rsid w:val="2F634F82"/>
    <w:rsid w:val="2F7A20E9"/>
    <w:rsid w:val="2FC53683"/>
    <w:rsid w:val="2FE97A5F"/>
    <w:rsid w:val="2FFA6151"/>
    <w:rsid w:val="3049057C"/>
    <w:rsid w:val="305A47DE"/>
    <w:rsid w:val="306F78B6"/>
    <w:rsid w:val="30817D16"/>
    <w:rsid w:val="309E348C"/>
    <w:rsid w:val="311A6DF9"/>
    <w:rsid w:val="31394322"/>
    <w:rsid w:val="3184082E"/>
    <w:rsid w:val="32617B06"/>
    <w:rsid w:val="328304A8"/>
    <w:rsid w:val="32BC5F4D"/>
    <w:rsid w:val="32DC56D7"/>
    <w:rsid w:val="332E5BDE"/>
    <w:rsid w:val="33393656"/>
    <w:rsid w:val="337C1CD3"/>
    <w:rsid w:val="33C11B6F"/>
    <w:rsid w:val="33FE364D"/>
    <w:rsid w:val="3429115A"/>
    <w:rsid w:val="34325CD9"/>
    <w:rsid w:val="345B6845"/>
    <w:rsid w:val="346113B3"/>
    <w:rsid w:val="34F2580B"/>
    <w:rsid w:val="36024564"/>
    <w:rsid w:val="36276335"/>
    <w:rsid w:val="36875A4D"/>
    <w:rsid w:val="36981B5D"/>
    <w:rsid w:val="36A9634B"/>
    <w:rsid w:val="36C73FA8"/>
    <w:rsid w:val="36D079C8"/>
    <w:rsid w:val="36DB3EF8"/>
    <w:rsid w:val="36E35BF1"/>
    <w:rsid w:val="37092813"/>
    <w:rsid w:val="37476E97"/>
    <w:rsid w:val="37691503"/>
    <w:rsid w:val="37D716E7"/>
    <w:rsid w:val="38740160"/>
    <w:rsid w:val="38806B05"/>
    <w:rsid w:val="388450F6"/>
    <w:rsid w:val="390A4CE0"/>
    <w:rsid w:val="39627046"/>
    <w:rsid w:val="39A552A4"/>
    <w:rsid w:val="39D761EF"/>
    <w:rsid w:val="3A76410D"/>
    <w:rsid w:val="3A8F3EBA"/>
    <w:rsid w:val="3AB10259"/>
    <w:rsid w:val="3ABA6222"/>
    <w:rsid w:val="3ABC33C9"/>
    <w:rsid w:val="3B2C72E6"/>
    <w:rsid w:val="3B301F44"/>
    <w:rsid w:val="3BA5294F"/>
    <w:rsid w:val="3BAE4829"/>
    <w:rsid w:val="3BDF73C5"/>
    <w:rsid w:val="3C074E47"/>
    <w:rsid w:val="3CB6298A"/>
    <w:rsid w:val="3CB7061B"/>
    <w:rsid w:val="3CB72D11"/>
    <w:rsid w:val="3CE04016"/>
    <w:rsid w:val="3D150B68"/>
    <w:rsid w:val="3D7A6E34"/>
    <w:rsid w:val="3D7C4A02"/>
    <w:rsid w:val="3D902D22"/>
    <w:rsid w:val="3DF4021A"/>
    <w:rsid w:val="3E047963"/>
    <w:rsid w:val="3E23065E"/>
    <w:rsid w:val="3E501E09"/>
    <w:rsid w:val="3E8E5BBA"/>
    <w:rsid w:val="3EB86069"/>
    <w:rsid w:val="3EDC10FF"/>
    <w:rsid w:val="3EE26FE2"/>
    <w:rsid w:val="3F0A5E23"/>
    <w:rsid w:val="3F6C7DE3"/>
    <w:rsid w:val="3F785608"/>
    <w:rsid w:val="3FEC558C"/>
    <w:rsid w:val="3FFF20F3"/>
    <w:rsid w:val="402734A4"/>
    <w:rsid w:val="405A4873"/>
    <w:rsid w:val="405C30EF"/>
    <w:rsid w:val="407B3EBF"/>
    <w:rsid w:val="40DF693D"/>
    <w:rsid w:val="40F16A8E"/>
    <w:rsid w:val="412545BE"/>
    <w:rsid w:val="413D74AE"/>
    <w:rsid w:val="4184340D"/>
    <w:rsid w:val="41932688"/>
    <w:rsid w:val="41E21275"/>
    <w:rsid w:val="41F9275B"/>
    <w:rsid w:val="42C929F1"/>
    <w:rsid w:val="42D67AEC"/>
    <w:rsid w:val="42F6152E"/>
    <w:rsid w:val="42FF6CFF"/>
    <w:rsid w:val="430345BA"/>
    <w:rsid w:val="43496F4C"/>
    <w:rsid w:val="43771108"/>
    <w:rsid w:val="438C4E1A"/>
    <w:rsid w:val="443C21A0"/>
    <w:rsid w:val="443C5240"/>
    <w:rsid w:val="4440126D"/>
    <w:rsid w:val="445F7604"/>
    <w:rsid w:val="446523D2"/>
    <w:rsid w:val="44891EC3"/>
    <w:rsid w:val="44DA0696"/>
    <w:rsid w:val="44E45943"/>
    <w:rsid w:val="44E80BF1"/>
    <w:rsid w:val="4557299B"/>
    <w:rsid w:val="4583380E"/>
    <w:rsid w:val="45993146"/>
    <w:rsid w:val="45EB3538"/>
    <w:rsid w:val="462036D5"/>
    <w:rsid w:val="46401F61"/>
    <w:rsid w:val="46440499"/>
    <w:rsid w:val="46771AC0"/>
    <w:rsid w:val="46845A12"/>
    <w:rsid w:val="47163BC5"/>
    <w:rsid w:val="47402399"/>
    <w:rsid w:val="47867C8A"/>
    <w:rsid w:val="47954A4A"/>
    <w:rsid w:val="479B001B"/>
    <w:rsid w:val="47C50446"/>
    <w:rsid w:val="47D21CE6"/>
    <w:rsid w:val="481456B4"/>
    <w:rsid w:val="482A0307"/>
    <w:rsid w:val="48876507"/>
    <w:rsid w:val="48A14890"/>
    <w:rsid w:val="49423962"/>
    <w:rsid w:val="49EA0D7A"/>
    <w:rsid w:val="4A2F04E7"/>
    <w:rsid w:val="4A4C0CEF"/>
    <w:rsid w:val="4A67403B"/>
    <w:rsid w:val="4A734E79"/>
    <w:rsid w:val="4AD27698"/>
    <w:rsid w:val="4B1B114F"/>
    <w:rsid w:val="4B250368"/>
    <w:rsid w:val="4B5E0F27"/>
    <w:rsid w:val="4B674335"/>
    <w:rsid w:val="4B7A75FA"/>
    <w:rsid w:val="4B7B52E3"/>
    <w:rsid w:val="4B7F6C9B"/>
    <w:rsid w:val="4BB01238"/>
    <w:rsid w:val="4BD6608A"/>
    <w:rsid w:val="4BE30D27"/>
    <w:rsid w:val="4BF36A73"/>
    <w:rsid w:val="4BF93ABC"/>
    <w:rsid w:val="4C2F1AF1"/>
    <w:rsid w:val="4C3F1A69"/>
    <w:rsid w:val="4C4355DD"/>
    <w:rsid w:val="4C4C7D4D"/>
    <w:rsid w:val="4C516396"/>
    <w:rsid w:val="4C561BFF"/>
    <w:rsid w:val="4C5B7215"/>
    <w:rsid w:val="4C692E82"/>
    <w:rsid w:val="4C974380"/>
    <w:rsid w:val="4CA7336B"/>
    <w:rsid w:val="4CDC2F1E"/>
    <w:rsid w:val="4D001539"/>
    <w:rsid w:val="4D060FF1"/>
    <w:rsid w:val="4D2D4BAA"/>
    <w:rsid w:val="4D331F40"/>
    <w:rsid w:val="4D5B5816"/>
    <w:rsid w:val="4D6138EC"/>
    <w:rsid w:val="4D714797"/>
    <w:rsid w:val="4D7809BA"/>
    <w:rsid w:val="4D820C8A"/>
    <w:rsid w:val="4D9F0EEA"/>
    <w:rsid w:val="4DC70A17"/>
    <w:rsid w:val="4DDC6134"/>
    <w:rsid w:val="4E326AC0"/>
    <w:rsid w:val="4E9E163B"/>
    <w:rsid w:val="4F095D32"/>
    <w:rsid w:val="4F1A4882"/>
    <w:rsid w:val="4F3C4DEC"/>
    <w:rsid w:val="4F48181F"/>
    <w:rsid w:val="4F6D0EC1"/>
    <w:rsid w:val="4F8C3B89"/>
    <w:rsid w:val="4FC03A74"/>
    <w:rsid w:val="4FD23C92"/>
    <w:rsid w:val="503C34CE"/>
    <w:rsid w:val="504900D3"/>
    <w:rsid w:val="50EA500B"/>
    <w:rsid w:val="51956D25"/>
    <w:rsid w:val="52892F5B"/>
    <w:rsid w:val="52F61709"/>
    <w:rsid w:val="530507B9"/>
    <w:rsid w:val="53195734"/>
    <w:rsid w:val="54073585"/>
    <w:rsid w:val="54995B0C"/>
    <w:rsid w:val="54DB7C79"/>
    <w:rsid w:val="54E74E26"/>
    <w:rsid w:val="55580A4D"/>
    <w:rsid w:val="55823A64"/>
    <w:rsid w:val="55AB3BAD"/>
    <w:rsid w:val="55B45B96"/>
    <w:rsid w:val="55C3622E"/>
    <w:rsid w:val="55DC1770"/>
    <w:rsid w:val="55E42029"/>
    <w:rsid w:val="55EB22AC"/>
    <w:rsid w:val="55F67FAE"/>
    <w:rsid w:val="55FB7B9D"/>
    <w:rsid w:val="55FD27CF"/>
    <w:rsid w:val="56034DF2"/>
    <w:rsid w:val="561133F2"/>
    <w:rsid w:val="561548BD"/>
    <w:rsid w:val="56571FFA"/>
    <w:rsid w:val="56A92CC7"/>
    <w:rsid w:val="56BD287A"/>
    <w:rsid w:val="570109B9"/>
    <w:rsid w:val="5753447C"/>
    <w:rsid w:val="57AC4DC9"/>
    <w:rsid w:val="57ED5B09"/>
    <w:rsid w:val="57F97FD9"/>
    <w:rsid w:val="582708F3"/>
    <w:rsid w:val="58344BA2"/>
    <w:rsid w:val="585D3A23"/>
    <w:rsid w:val="58BD10F2"/>
    <w:rsid w:val="58CD33C2"/>
    <w:rsid w:val="596469D4"/>
    <w:rsid w:val="598F49A2"/>
    <w:rsid w:val="59A0354C"/>
    <w:rsid w:val="5A160626"/>
    <w:rsid w:val="5A435D8A"/>
    <w:rsid w:val="5A5A0BD4"/>
    <w:rsid w:val="5A8D6C47"/>
    <w:rsid w:val="5B0CF2D3"/>
    <w:rsid w:val="5B18658D"/>
    <w:rsid w:val="5B687259"/>
    <w:rsid w:val="5B7B30F8"/>
    <w:rsid w:val="5BBC1D09"/>
    <w:rsid w:val="5C34380B"/>
    <w:rsid w:val="5CD37946"/>
    <w:rsid w:val="5CFC6999"/>
    <w:rsid w:val="5D215911"/>
    <w:rsid w:val="5DF254FF"/>
    <w:rsid w:val="5E40626B"/>
    <w:rsid w:val="5E4775F9"/>
    <w:rsid w:val="5E677C9B"/>
    <w:rsid w:val="5E734892"/>
    <w:rsid w:val="5F053010"/>
    <w:rsid w:val="5F912AC4"/>
    <w:rsid w:val="5FD14724"/>
    <w:rsid w:val="5FD650D9"/>
    <w:rsid w:val="60146320"/>
    <w:rsid w:val="60387705"/>
    <w:rsid w:val="60684C24"/>
    <w:rsid w:val="60700F30"/>
    <w:rsid w:val="607B7DDA"/>
    <w:rsid w:val="60F15F42"/>
    <w:rsid w:val="611834CF"/>
    <w:rsid w:val="61433BDD"/>
    <w:rsid w:val="616B017F"/>
    <w:rsid w:val="617F354E"/>
    <w:rsid w:val="61A76748"/>
    <w:rsid w:val="61CB6793"/>
    <w:rsid w:val="62A82D70"/>
    <w:rsid w:val="62B22E19"/>
    <w:rsid w:val="62B731FE"/>
    <w:rsid w:val="62F04CCC"/>
    <w:rsid w:val="63023C80"/>
    <w:rsid w:val="632E7A64"/>
    <w:rsid w:val="636D3AA1"/>
    <w:rsid w:val="63D86F45"/>
    <w:rsid w:val="64F22548"/>
    <w:rsid w:val="65516386"/>
    <w:rsid w:val="656062CA"/>
    <w:rsid w:val="659106E2"/>
    <w:rsid w:val="65A753BA"/>
    <w:rsid w:val="65AB236D"/>
    <w:rsid w:val="65B8080F"/>
    <w:rsid w:val="65D521FE"/>
    <w:rsid w:val="660B3602"/>
    <w:rsid w:val="66483EC5"/>
    <w:rsid w:val="66704DB4"/>
    <w:rsid w:val="669730E8"/>
    <w:rsid w:val="66FF3B3B"/>
    <w:rsid w:val="670927AC"/>
    <w:rsid w:val="67102453"/>
    <w:rsid w:val="6813679E"/>
    <w:rsid w:val="68214134"/>
    <w:rsid w:val="687436E1"/>
    <w:rsid w:val="687820CF"/>
    <w:rsid w:val="687A4A6F"/>
    <w:rsid w:val="68A67F29"/>
    <w:rsid w:val="68C15CCA"/>
    <w:rsid w:val="692D45F0"/>
    <w:rsid w:val="697D619C"/>
    <w:rsid w:val="69AC2A06"/>
    <w:rsid w:val="69EE3D79"/>
    <w:rsid w:val="6A0E091D"/>
    <w:rsid w:val="6AB5047B"/>
    <w:rsid w:val="6ABA50AD"/>
    <w:rsid w:val="6AE54422"/>
    <w:rsid w:val="6AE83F12"/>
    <w:rsid w:val="6B1724CA"/>
    <w:rsid w:val="6B1F3E2C"/>
    <w:rsid w:val="6B2A62D8"/>
    <w:rsid w:val="6B4078AA"/>
    <w:rsid w:val="6B58725B"/>
    <w:rsid w:val="6B7C465A"/>
    <w:rsid w:val="6BA94127"/>
    <w:rsid w:val="6BFE46EA"/>
    <w:rsid w:val="6C152D24"/>
    <w:rsid w:val="6C7F53F2"/>
    <w:rsid w:val="6C8B20CC"/>
    <w:rsid w:val="6C95A85E"/>
    <w:rsid w:val="6D2B458A"/>
    <w:rsid w:val="6D357081"/>
    <w:rsid w:val="6D417909"/>
    <w:rsid w:val="6D792DBA"/>
    <w:rsid w:val="6D982714"/>
    <w:rsid w:val="6DEB74FB"/>
    <w:rsid w:val="6DEC5AC7"/>
    <w:rsid w:val="6E3D27C7"/>
    <w:rsid w:val="6ECD27A0"/>
    <w:rsid w:val="6F1ECFF8"/>
    <w:rsid w:val="6F3C53DA"/>
    <w:rsid w:val="6F7E3D26"/>
    <w:rsid w:val="704217E5"/>
    <w:rsid w:val="70A26506"/>
    <w:rsid w:val="70F5346D"/>
    <w:rsid w:val="71106C43"/>
    <w:rsid w:val="71152000"/>
    <w:rsid w:val="71220D40"/>
    <w:rsid w:val="71724535"/>
    <w:rsid w:val="71E33685"/>
    <w:rsid w:val="721756F7"/>
    <w:rsid w:val="7231680E"/>
    <w:rsid w:val="727B2BAE"/>
    <w:rsid w:val="72896870"/>
    <w:rsid w:val="72D3337E"/>
    <w:rsid w:val="72D76566"/>
    <w:rsid w:val="72D96708"/>
    <w:rsid w:val="738F5872"/>
    <w:rsid w:val="73C117A4"/>
    <w:rsid w:val="74DA16DE"/>
    <w:rsid w:val="74E03EAC"/>
    <w:rsid w:val="750872E0"/>
    <w:rsid w:val="751A116C"/>
    <w:rsid w:val="75750A98"/>
    <w:rsid w:val="75ED6880"/>
    <w:rsid w:val="76171B4F"/>
    <w:rsid w:val="7656661E"/>
    <w:rsid w:val="76B14119"/>
    <w:rsid w:val="76C07AF1"/>
    <w:rsid w:val="76E50556"/>
    <w:rsid w:val="76ED37EF"/>
    <w:rsid w:val="770F21D1"/>
    <w:rsid w:val="77942609"/>
    <w:rsid w:val="77AD4519"/>
    <w:rsid w:val="77E45A61"/>
    <w:rsid w:val="77EF4493"/>
    <w:rsid w:val="77F11895"/>
    <w:rsid w:val="784A1BCE"/>
    <w:rsid w:val="78A7019A"/>
    <w:rsid w:val="78C06712"/>
    <w:rsid w:val="79532E9E"/>
    <w:rsid w:val="796B51A8"/>
    <w:rsid w:val="799539AD"/>
    <w:rsid w:val="79BA3B0E"/>
    <w:rsid w:val="79E17C8A"/>
    <w:rsid w:val="7A334212"/>
    <w:rsid w:val="7A49604F"/>
    <w:rsid w:val="7A772155"/>
    <w:rsid w:val="7A9032B8"/>
    <w:rsid w:val="7ABB6962"/>
    <w:rsid w:val="7AF4539C"/>
    <w:rsid w:val="7AF46434"/>
    <w:rsid w:val="7BD52290"/>
    <w:rsid w:val="7C013D85"/>
    <w:rsid w:val="7C2F8C70"/>
    <w:rsid w:val="7C3A20F4"/>
    <w:rsid w:val="7C5E2DEC"/>
    <w:rsid w:val="7C662C4B"/>
    <w:rsid w:val="7C9325B6"/>
    <w:rsid w:val="7CBE4AD3"/>
    <w:rsid w:val="7CF35D84"/>
    <w:rsid w:val="7D1F2A20"/>
    <w:rsid w:val="7D360F28"/>
    <w:rsid w:val="7D937D0D"/>
    <w:rsid w:val="7DAF266D"/>
    <w:rsid w:val="7DB40A20"/>
    <w:rsid w:val="7DDF36B2"/>
    <w:rsid w:val="7E136A50"/>
    <w:rsid w:val="7E1534A0"/>
    <w:rsid w:val="7E355268"/>
    <w:rsid w:val="7E49765A"/>
    <w:rsid w:val="7E4C0FEB"/>
    <w:rsid w:val="7EBB50F1"/>
    <w:rsid w:val="7EBE0C5A"/>
    <w:rsid w:val="7EBF4B32"/>
    <w:rsid w:val="7ECA3C03"/>
    <w:rsid w:val="7EE56270"/>
    <w:rsid w:val="7EF22AC6"/>
    <w:rsid w:val="7EFB3C47"/>
    <w:rsid w:val="7F7F569C"/>
    <w:rsid w:val="7F7F68A4"/>
    <w:rsid w:val="7F850ECB"/>
    <w:rsid w:val="7F9F1736"/>
    <w:rsid w:val="7FD31A01"/>
    <w:rsid w:val="7FED74AC"/>
    <w:rsid w:val="7FFB101A"/>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keepNext/>
      <w:outlineLvl w:val="0"/>
    </w:pPr>
    <w:rPr>
      <w:sz w:val="28"/>
      <w:szCs w:val="24"/>
    </w:rPr>
  </w:style>
  <w:style w:type="paragraph" w:styleId="4">
    <w:name w:val="heading 2"/>
    <w:basedOn w:val="1"/>
    <w:next w:val="1"/>
    <w:link w:val="106"/>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58"/>
    <w:qFormat/>
    <w:uiPriority w:val="0"/>
    <w:pPr>
      <w:keepNext/>
      <w:keepLines/>
      <w:spacing w:before="260" w:after="260" w:line="416" w:lineRule="auto"/>
      <w:outlineLvl w:val="2"/>
    </w:pPr>
    <w:rPr>
      <w:b/>
      <w:bCs/>
      <w:sz w:val="32"/>
      <w:szCs w:val="32"/>
      <w:lang w:val="zh-CN"/>
    </w:rPr>
  </w:style>
  <w:style w:type="paragraph" w:styleId="6">
    <w:name w:val="heading 4"/>
    <w:basedOn w:val="1"/>
    <w:next w:val="1"/>
    <w:link w:val="59"/>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7">
    <w:name w:val="toc 7"/>
    <w:basedOn w:val="1"/>
    <w:next w:val="1"/>
    <w:qFormat/>
    <w:uiPriority w:val="0"/>
    <w:pPr>
      <w:ind w:left="2520" w:leftChars="1200"/>
    </w:pPr>
  </w:style>
  <w:style w:type="paragraph" w:styleId="8">
    <w:name w:val="Document Map"/>
    <w:basedOn w:val="1"/>
    <w:link w:val="83"/>
    <w:qFormat/>
    <w:uiPriority w:val="0"/>
    <w:pPr>
      <w:shd w:val="clear" w:color="auto" w:fill="000080"/>
    </w:pPr>
  </w:style>
  <w:style w:type="paragraph" w:styleId="9">
    <w:name w:val="annotation text"/>
    <w:basedOn w:val="1"/>
    <w:link w:val="77"/>
    <w:semiHidden/>
    <w:qFormat/>
    <w:uiPriority w:val="99"/>
    <w:pPr>
      <w:jc w:val="left"/>
    </w:pPr>
  </w:style>
  <w:style w:type="paragraph" w:styleId="10">
    <w:name w:val="Body Text 3"/>
    <w:basedOn w:val="1"/>
    <w:link w:val="98"/>
    <w:unhideWhenUsed/>
    <w:qFormat/>
    <w:uiPriority w:val="99"/>
    <w:pPr>
      <w:spacing w:after="120"/>
    </w:pPr>
    <w:rPr>
      <w:rFonts w:ascii="Calibri" w:hAnsi="Calibri"/>
      <w:sz w:val="16"/>
      <w:szCs w:val="16"/>
      <w:lang w:val="zh-CN"/>
    </w:rPr>
  </w:style>
  <w:style w:type="paragraph" w:styleId="11">
    <w:name w:val="Body Text"/>
    <w:basedOn w:val="1"/>
    <w:next w:val="12"/>
    <w:link w:val="72"/>
    <w:qFormat/>
    <w:uiPriority w:val="0"/>
    <w:pPr>
      <w:spacing w:after="120"/>
    </w:pPr>
    <w:rPr>
      <w:szCs w:val="24"/>
    </w:rPr>
  </w:style>
  <w:style w:type="paragraph" w:customStyle="1" w:styleId="12">
    <w:name w:val="style4"/>
    <w:basedOn w:val="1"/>
    <w:next w:val="13"/>
    <w:qFormat/>
    <w:uiPriority w:val="99"/>
    <w:pPr>
      <w:widowControl/>
      <w:spacing w:before="280" w:after="280"/>
    </w:pPr>
    <w:rPr>
      <w:rFonts w:ascii="宋体"/>
      <w:sz w:val="18"/>
    </w:rPr>
  </w:style>
  <w:style w:type="paragraph" w:customStyle="1" w:styleId="13">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61"/>
    <w:qFormat/>
    <w:uiPriority w:val="0"/>
    <w:pPr>
      <w:ind w:firstLine="540"/>
    </w:pPr>
    <w:rPr>
      <w:rFonts w:eastAsia="仿宋_GB2312"/>
      <w:sz w:val="28"/>
    </w:rPr>
  </w:style>
  <w:style w:type="paragraph" w:styleId="15">
    <w:name w:val="envelope return"/>
    <w:basedOn w:val="1"/>
    <w:qFormat/>
    <w:uiPriority w:val="0"/>
    <w:pPr>
      <w:snapToGrid w:val="0"/>
    </w:pPr>
    <w:rPr>
      <w:rFonts w:ascii="Arial" w:hAnsi="Arial"/>
    </w:rPr>
  </w:style>
  <w:style w:type="paragraph" w:styleId="16">
    <w:name w:val="toc 5"/>
    <w:basedOn w:val="1"/>
    <w:next w:val="1"/>
    <w:qFormat/>
    <w:uiPriority w:val="0"/>
    <w:pPr>
      <w:ind w:left="1680" w:leftChars="800"/>
    </w:pPr>
  </w:style>
  <w:style w:type="paragraph" w:styleId="17">
    <w:name w:val="toc 3"/>
    <w:basedOn w:val="1"/>
    <w:next w:val="1"/>
    <w:qFormat/>
    <w:uiPriority w:val="39"/>
    <w:pPr>
      <w:ind w:left="840" w:leftChars="400"/>
    </w:pPr>
  </w:style>
  <w:style w:type="paragraph" w:styleId="18">
    <w:name w:val="Plain Text"/>
    <w:basedOn w:val="1"/>
    <w:link w:val="80"/>
    <w:qFormat/>
    <w:uiPriority w:val="0"/>
    <w:rPr>
      <w:rFonts w:ascii="宋体" w:hAnsi="Courier New" w:cstheme="minorBidi"/>
      <w:szCs w:val="22"/>
    </w:rPr>
  </w:style>
  <w:style w:type="paragraph" w:styleId="19">
    <w:name w:val="toc 8"/>
    <w:basedOn w:val="1"/>
    <w:next w:val="1"/>
    <w:qFormat/>
    <w:uiPriority w:val="0"/>
    <w:pPr>
      <w:ind w:left="2940" w:leftChars="1400"/>
    </w:pPr>
  </w:style>
  <w:style w:type="paragraph" w:styleId="20">
    <w:name w:val="Date"/>
    <w:basedOn w:val="1"/>
    <w:next w:val="1"/>
    <w:link w:val="60"/>
    <w:qFormat/>
    <w:uiPriority w:val="0"/>
    <w:rPr>
      <w:rFonts w:ascii="Arial" w:hAnsi="Arial" w:eastAsia="楷体_GB2312"/>
      <w:sz w:val="28"/>
    </w:rPr>
  </w:style>
  <w:style w:type="paragraph" w:styleId="21">
    <w:name w:val="Body Text Indent 2"/>
    <w:basedOn w:val="1"/>
    <w:link w:val="63"/>
    <w:qFormat/>
    <w:uiPriority w:val="0"/>
    <w:pPr>
      <w:tabs>
        <w:tab w:val="left" w:pos="720"/>
      </w:tabs>
      <w:ind w:right="-506" w:rightChars="-241" w:firstLine="538" w:firstLineChars="192"/>
    </w:pPr>
    <w:rPr>
      <w:rFonts w:eastAsia="仿宋_GB2312"/>
      <w:sz w:val="28"/>
    </w:rPr>
  </w:style>
  <w:style w:type="paragraph" w:styleId="22">
    <w:name w:val="Balloon Text"/>
    <w:basedOn w:val="1"/>
    <w:link w:val="74"/>
    <w:qFormat/>
    <w:uiPriority w:val="0"/>
    <w:rPr>
      <w:sz w:val="18"/>
      <w:szCs w:val="18"/>
    </w:rPr>
  </w:style>
  <w:style w:type="paragraph" w:styleId="23">
    <w:name w:val="footer"/>
    <w:basedOn w:val="1"/>
    <w:link w:val="55"/>
    <w:unhideWhenUsed/>
    <w:qFormat/>
    <w:uiPriority w:val="99"/>
    <w:pPr>
      <w:tabs>
        <w:tab w:val="center" w:pos="4153"/>
        <w:tab w:val="right" w:pos="8306"/>
      </w:tabs>
      <w:snapToGrid w:val="0"/>
      <w:jc w:val="left"/>
    </w:pPr>
    <w:rPr>
      <w:sz w:val="18"/>
      <w:szCs w:val="18"/>
    </w:rPr>
  </w:style>
  <w:style w:type="paragraph" w:styleId="24">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toc 4"/>
    <w:basedOn w:val="1"/>
    <w:next w:val="1"/>
    <w:qFormat/>
    <w:uiPriority w:val="0"/>
    <w:pPr>
      <w:ind w:left="1260" w:leftChars="600"/>
    </w:pPr>
  </w:style>
  <w:style w:type="paragraph" w:styleId="27">
    <w:name w:val="toc 6"/>
    <w:basedOn w:val="1"/>
    <w:next w:val="1"/>
    <w:qFormat/>
    <w:uiPriority w:val="0"/>
    <w:pPr>
      <w:ind w:left="2100" w:leftChars="1000"/>
    </w:pPr>
  </w:style>
  <w:style w:type="paragraph" w:styleId="28">
    <w:name w:val="Body Text Indent 3"/>
    <w:basedOn w:val="1"/>
    <w:link w:val="69"/>
    <w:qFormat/>
    <w:uiPriority w:val="0"/>
    <w:pPr>
      <w:ind w:left="178" w:leftChars="85" w:firstLine="560" w:firstLineChars="200"/>
    </w:pPr>
    <w:rPr>
      <w:rFonts w:ascii="仿宋_GB2312" w:hAnsi="Arial" w:eastAsia="仿宋_GB2312"/>
      <w:sz w:val="28"/>
      <w:szCs w:val="24"/>
    </w:rPr>
  </w:style>
  <w:style w:type="paragraph" w:styleId="29">
    <w:name w:val="toc 2"/>
    <w:basedOn w:val="1"/>
    <w:next w:val="1"/>
    <w:qFormat/>
    <w:uiPriority w:val="39"/>
    <w:pPr>
      <w:ind w:left="420" w:leftChars="200"/>
    </w:pPr>
  </w:style>
  <w:style w:type="paragraph" w:styleId="30">
    <w:name w:val="toc 9"/>
    <w:basedOn w:val="1"/>
    <w:next w:val="1"/>
    <w:qFormat/>
    <w:uiPriority w:val="0"/>
    <w:pPr>
      <w:ind w:left="3360" w:leftChars="1600"/>
    </w:pPr>
  </w:style>
  <w:style w:type="paragraph" w:styleId="3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unhideWhenUsed/>
    <w:qFormat/>
    <w:uiPriority w:val="99"/>
    <w:pPr>
      <w:jc w:val="left"/>
    </w:pPr>
    <w:rPr>
      <w:kern w:val="0"/>
      <w:sz w:val="24"/>
    </w:rPr>
  </w:style>
  <w:style w:type="paragraph" w:styleId="33">
    <w:name w:val="index 1"/>
    <w:basedOn w:val="1"/>
    <w:next w:val="1"/>
    <w:semiHidden/>
    <w:qFormat/>
    <w:uiPriority w:val="0"/>
    <w:pPr>
      <w:jc w:val="center"/>
    </w:pPr>
    <w:rPr>
      <w:rFonts w:ascii="仿宋_GB2312" w:eastAsia="仿宋_GB2312"/>
      <w:b/>
      <w:bCs/>
      <w:sz w:val="28"/>
    </w:rPr>
  </w:style>
  <w:style w:type="paragraph" w:styleId="34">
    <w:name w:val="annotation subject"/>
    <w:basedOn w:val="9"/>
    <w:next w:val="9"/>
    <w:link w:val="78"/>
    <w:semiHidden/>
    <w:qFormat/>
    <w:uiPriority w:val="99"/>
    <w:rPr>
      <w:b/>
      <w:bCs/>
    </w:rPr>
  </w:style>
  <w:style w:type="paragraph" w:styleId="35">
    <w:name w:val="Body Text First Indent"/>
    <w:basedOn w:val="11"/>
    <w:next w:val="1"/>
    <w:unhideWhenUsed/>
    <w:qFormat/>
    <w:uiPriority w:val="99"/>
    <w:pPr>
      <w:spacing w:line="400" w:lineRule="atLeast"/>
      <w:ind w:firstLine="426"/>
    </w:pPr>
    <w:rPr>
      <w:sz w:val="24"/>
      <w:szCs w:val="20"/>
    </w:rPr>
  </w:style>
  <w:style w:type="paragraph" w:styleId="36">
    <w:name w:val="Body Text First Indent 2"/>
    <w:basedOn w:val="14"/>
    <w:semiHidden/>
    <w:unhideWhenUsed/>
    <w:qFormat/>
    <w:uiPriority w:val="99"/>
    <w:pPr>
      <w:ind w:firstLine="420" w:firstLineChars="200"/>
    </w:p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basedOn w:val="39"/>
    <w:unhideWhenUsed/>
    <w:qFormat/>
    <w:uiPriority w:val="99"/>
    <w:rPr>
      <w:color w:val="954F72" w:themeColor="followedHyperlink"/>
      <w:u w:val="single"/>
    </w:rPr>
  </w:style>
  <w:style w:type="character" w:styleId="43">
    <w:name w:val="Emphasis"/>
    <w:basedOn w:val="39"/>
    <w:qFormat/>
    <w:uiPriority w:val="20"/>
    <w:rPr>
      <w:b/>
      <w:bCs/>
    </w:rPr>
  </w:style>
  <w:style w:type="character" w:styleId="44">
    <w:name w:val="HTML Definition"/>
    <w:basedOn w:val="39"/>
    <w:semiHidden/>
    <w:unhideWhenUsed/>
    <w:qFormat/>
    <w:uiPriority w:val="99"/>
  </w:style>
  <w:style w:type="character" w:styleId="45">
    <w:name w:val="HTML Typewriter"/>
    <w:basedOn w:val="39"/>
    <w:semiHidden/>
    <w:unhideWhenUsed/>
    <w:qFormat/>
    <w:uiPriority w:val="99"/>
    <w:rPr>
      <w:rFonts w:hint="default" w:ascii="monospace" w:hAnsi="monospace" w:eastAsia="monospace" w:cs="monospace"/>
      <w:sz w:val="20"/>
    </w:rPr>
  </w:style>
  <w:style w:type="character" w:styleId="46">
    <w:name w:val="HTML Acronym"/>
    <w:basedOn w:val="39"/>
    <w:semiHidden/>
    <w:unhideWhenUsed/>
    <w:qFormat/>
    <w:uiPriority w:val="99"/>
  </w:style>
  <w:style w:type="character" w:styleId="47">
    <w:name w:val="HTML Variable"/>
    <w:basedOn w:val="39"/>
    <w:semiHidden/>
    <w:unhideWhenUsed/>
    <w:qFormat/>
    <w:uiPriority w:val="99"/>
  </w:style>
  <w:style w:type="character" w:styleId="48">
    <w:name w:val="Hyperlink"/>
    <w:basedOn w:val="39"/>
    <w:qFormat/>
    <w:uiPriority w:val="99"/>
    <w:rPr>
      <w:color w:val="333333"/>
      <w:u w:val="none"/>
    </w:rPr>
  </w:style>
  <w:style w:type="character" w:styleId="49">
    <w:name w:val="HTML Code"/>
    <w:basedOn w:val="39"/>
    <w:semiHidden/>
    <w:unhideWhenUsed/>
    <w:qFormat/>
    <w:uiPriority w:val="99"/>
    <w:rPr>
      <w:rFonts w:hint="default" w:ascii="monospace" w:hAnsi="monospace" w:eastAsia="monospace" w:cs="monospace"/>
      <w:sz w:val="20"/>
    </w:rPr>
  </w:style>
  <w:style w:type="character" w:styleId="50">
    <w:name w:val="annotation reference"/>
    <w:semiHidden/>
    <w:qFormat/>
    <w:uiPriority w:val="99"/>
    <w:rPr>
      <w:sz w:val="21"/>
      <w:szCs w:val="21"/>
    </w:rPr>
  </w:style>
  <w:style w:type="character" w:styleId="51">
    <w:name w:val="HTML Cite"/>
    <w:basedOn w:val="39"/>
    <w:semiHidden/>
    <w:unhideWhenUsed/>
    <w:qFormat/>
    <w:uiPriority w:val="99"/>
  </w:style>
  <w:style w:type="character" w:styleId="52">
    <w:name w:val="HTML Keyboard"/>
    <w:basedOn w:val="39"/>
    <w:semiHidden/>
    <w:unhideWhenUsed/>
    <w:qFormat/>
    <w:uiPriority w:val="99"/>
    <w:rPr>
      <w:rFonts w:ascii="monospace" w:hAnsi="monospace" w:eastAsia="monospace" w:cs="monospace"/>
      <w:sz w:val="20"/>
    </w:rPr>
  </w:style>
  <w:style w:type="character" w:styleId="53">
    <w:name w:val="HTML Sample"/>
    <w:basedOn w:val="39"/>
    <w:semiHidden/>
    <w:unhideWhenUsed/>
    <w:qFormat/>
    <w:uiPriority w:val="99"/>
    <w:rPr>
      <w:rFonts w:hint="default" w:ascii="monospace" w:hAnsi="monospace" w:eastAsia="monospace" w:cs="monospace"/>
      <w:color w:val="5C5C5C"/>
      <w:sz w:val="18"/>
      <w:szCs w:val="18"/>
      <w:bdr w:val="single" w:color="EBEBEB" w:sz="6" w:space="0"/>
      <w:shd w:val="clear" w:color="auto" w:fill="FFFFFF"/>
    </w:rPr>
  </w:style>
  <w:style w:type="character" w:customStyle="1" w:styleId="54">
    <w:name w:val="页眉 Char"/>
    <w:basedOn w:val="39"/>
    <w:link w:val="24"/>
    <w:qFormat/>
    <w:uiPriority w:val="0"/>
    <w:rPr>
      <w:sz w:val="18"/>
      <w:szCs w:val="18"/>
    </w:rPr>
  </w:style>
  <w:style w:type="character" w:customStyle="1" w:styleId="55">
    <w:name w:val="页脚 Char"/>
    <w:basedOn w:val="39"/>
    <w:link w:val="23"/>
    <w:qFormat/>
    <w:uiPriority w:val="99"/>
    <w:rPr>
      <w:sz w:val="18"/>
      <w:szCs w:val="18"/>
    </w:rPr>
  </w:style>
  <w:style w:type="character" w:customStyle="1" w:styleId="56">
    <w:name w:val="标题 1 Char"/>
    <w:basedOn w:val="39"/>
    <w:link w:val="3"/>
    <w:qFormat/>
    <w:uiPriority w:val="0"/>
    <w:rPr>
      <w:rFonts w:ascii="Times New Roman" w:hAnsi="Times New Roman" w:eastAsia="宋体" w:cs="Times New Roman"/>
      <w:sz w:val="28"/>
      <w:szCs w:val="24"/>
    </w:rPr>
  </w:style>
  <w:style w:type="character" w:customStyle="1" w:styleId="57">
    <w:name w:val="标题 2 Char"/>
    <w:basedOn w:val="39"/>
    <w:qFormat/>
    <w:uiPriority w:val="0"/>
    <w:rPr>
      <w:rFonts w:ascii="Arial" w:hAnsi="Arial" w:eastAsia="黑体" w:cs="Times New Roman"/>
      <w:b/>
      <w:kern w:val="0"/>
      <w:sz w:val="32"/>
      <w:szCs w:val="20"/>
    </w:rPr>
  </w:style>
  <w:style w:type="character" w:customStyle="1" w:styleId="58">
    <w:name w:val="标题 3 Char"/>
    <w:basedOn w:val="39"/>
    <w:link w:val="5"/>
    <w:qFormat/>
    <w:uiPriority w:val="0"/>
    <w:rPr>
      <w:rFonts w:ascii="Times New Roman" w:hAnsi="Times New Roman" w:eastAsia="宋体" w:cs="Times New Roman"/>
      <w:b/>
      <w:bCs/>
      <w:sz w:val="32"/>
      <w:szCs w:val="32"/>
      <w:lang w:val="zh-CN" w:eastAsia="zh-CN"/>
    </w:rPr>
  </w:style>
  <w:style w:type="character" w:customStyle="1" w:styleId="59">
    <w:name w:val="标题 4 Char"/>
    <w:basedOn w:val="39"/>
    <w:link w:val="6"/>
    <w:qFormat/>
    <w:uiPriority w:val="0"/>
    <w:rPr>
      <w:rFonts w:ascii="Arial" w:hAnsi="Arial" w:eastAsia="黑体" w:cs="Times New Roman"/>
      <w:b/>
      <w:kern w:val="0"/>
      <w:sz w:val="28"/>
      <w:szCs w:val="20"/>
    </w:rPr>
  </w:style>
  <w:style w:type="character" w:customStyle="1" w:styleId="60">
    <w:name w:val="日期 Char"/>
    <w:basedOn w:val="39"/>
    <w:link w:val="20"/>
    <w:qFormat/>
    <w:uiPriority w:val="0"/>
    <w:rPr>
      <w:rFonts w:ascii="Arial" w:hAnsi="Arial" w:eastAsia="楷体_GB2312" w:cs="Times New Roman"/>
      <w:sz w:val="28"/>
      <w:szCs w:val="20"/>
    </w:rPr>
  </w:style>
  <w:style w:type="character" w:customStyle="1" w:styleId="61">
    <w:name w:val="正文文本缩进 Char"/>
    <w:basedOn w:val="39"/>
    <w:link w:val="14"/>
    <w:qFormat/>
    <w:uiPriority w:val="0"/>
    <w:rPr>
      <w:rFonts w:ascii="Times New Roman" w:hAnsi="Times New Roman" w:eastAsia="仿宋_GB2312" w:cs="Times New Roman"/>
      <w:sz w:val="28"/>
      <w:szCs w:val="20"/>
    </w:rPr>
  </w:style>
  <w:style w:type="paragraph" w:customStyle="1" w:styleId="62">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3">
    <w:name w:val="正文文本缩进 2 Char"/>
    <w:basedOn w:val="39"/>
    <w:link w:val="21"/>
    <w:qFormat/>
    <w:uiPriority w:val="0"/>
    <w:rPr>
      <w:rFonts w:ascii="Times New Roman" w:hAnsi="Times New Roman" w:eastAsia="仿宋_GB2312" w:cs="Times New Roman"/>
      <w:sz w:val="28"/>
      <w:szCs w:val="20"/>
    </w:rPr>
  </w:style>
  <w:style w:type="paragraph" w:customStyle="1" w:styleId="64">
    <w:name w:val="样式1"/>
    <w:basedOn w:val="1"/>
    <w:qFormat/>
    <w:uiPriority w:val="0"/>
    <w:pPr>
      <w:numPr>
        <w:ilvl w:val="0"/>
        <w:numId w:val="1"/>
      </w:numPr>
      <w:adjustRightInd w:val="0"/>
      <w:textAlignment w:val="baseline"/>
    </w:pPr>
    <w:rPr>
      <w:rFonts w:ascii="宋体" w:hAnsi="宋体"/>
      <w:kern w:val="0"/>
    </w:rPr>
  </w:style>
  <w:style w:type="paragraph" w:customStyle="1" w:styleId="65">
    <w:name w:val="样式 宋体 五号 行距: 单倍行距"/>
    <w:basedOn w:val="1"/>
    <w:qFormat/>
    <w:uiPriority w:val="0"/>
    <w:pPr>
      <w:adjustRightInd w:val="0"/>
      <w:jc w:val="left"/>
      <w:textAlignment w:val="baseline"/>
    </w:pPr>
    <w:rPr>
      <w:rFonts w:ascii="宋体" w:hAnsi="宋体"/>
      <w:kern w:val="0"/>
    </w:rPr>
  </w:style>
  <w:style w:type="paragraph" w:customStyle="1" w:styleId="66">
    <w:name w:val="样式 标题 2 + 宋体 五号 行距: 单倍行距"/>
    <w:basedOn w:val="4"/>
    <w:qFormat/>
    <w:uiPriority w:val="0"/>
    <w:pPr>
      <w:spacing w:line="240" w:lineRule="auto"/>
    </w:pPr>
    <w:rPr>
      <w:rFonts w:ascii="宋体" w:hAnsi="宋体" w:eastAsia="宋体"/>
      <w:sz w:val="21"/>
    </w:rPr>
  </w:style>
  <w:style w:type="paragraph" w:customStyle="1" w:styleId="67">
    <w:name w:val="Char Char Char Char Char"/>
    <w:basedOn w:val="1"/>
    <w:qFormat/>
    <w:uiPriority w:val="0"/>
    <w:rPr>
      <w:rFonts w:ascii="Tahoma" w:hAnsi="Tahoma"/>
      <w:sz w:val="24"/>
    </w:rPr>
  </w:style>
  <w:style w:type="paragraph" w:customStyle="1" w:styleId="68">
    <w:name w:val="Char"/>
    <w:basedOn w:val="1"/>
    <w:qFormat/>
    <w:uiPriority w:val="0"/>
    <w:rPr>
      <w:rFonts w:ascii="Tahoma" w:hAnsi="Tahoma"/>
      <w:sz w:val="24"/>
    </w:rPr>
  </w:style>
  <w:style w:type="character" w:customStyle="1" w:styleId="69">
    <w:name w:val="正文文本缩进 3 Char"/>
    <w:basedOn w:val="39"/>
    <w:link w:val="28"/>
    <w:qFormat/>
    <w:uiPriority w:val="0"/>
    <w:rPr>
      <w:rFonts w:ascii="仿宋_GB2312" w:hAnsi="Arial" w:eastAsia="仿宋_GB2312" w:cs="Times New Roman"/>
      <w:sz w:val="28"/>
      <w:szCs w:val="24"/>
    </w:rPr>
  </w:style>
  <w:style w:type="paragraph" w:customStyle="1" w:styleId="70">
    <w:name w:val="Char1"/>
    <w:basedOn w:val="1"/>
    <w:qFormat/>
    <w:uiPriority w:val="0"/>
    <w:rPr>
      <w:rFonts w:ascii="Tahoma" w:hAnsi="Tahoma" w:eastAsia="仿宋_GB2312"/>
      <w:sz w:val="24"/>
    </w:rPr>
  </w:style>
  <w:style w:type="paragraph" w:customStyle="1" w:styleId="71">
    <w:name w:val="Char Char Char Char Char Char Char1 Char"/>
    <w:basedOn w:val="1"/>
    <w:qFormat/>
    <w:uiPriority w:val="0"/>
    <w:rPr>
      <w:rFonts w:ascii="Tahoma" w:hAnsi="Tahoma"/>
      <w:sz w:val="24"/>
    </w:rPr>
  </w:style>
  <w:style w:type="character" w:customStyle="1" w:styleId="72">
    <w:name w:val="正文文本 Char"/>
    <w:basedOn w:val="39"/>
    <w:link w:val="11"/>
    <w:qFormat/>
    <w:uiPriority w:val="0"/>
    <w:rPr>
      <w:rFonts w:ascii="Times New Roman" w:hAnsi="Times New Roman" w:eastAsia="宋体" w:cs="Times New Roman"/>
      <w:szCs w:val="24"/>
    </w:rPr>
  </w:style>
  <w:style w:type="paragraph" w:customStyle="1" w:styleId="73">
    <w:name w:val="Char Char Char Char"/>
    <w:basedOn w:val="1"/>
    <w:next w:val="1"/>
    <w:qFormat/>
    <w:uiPriority w:val="0"/>
    <w:pPr>
      <w:widowControl/>
      <w:spacing w:line="360" w:lineRule="auto"/>
      <w:jc w:val="left"/>
    </w:pPr>
  </w:style>
  <w:style w:type="character" w:customStyle="1" w:styleId="74">
    <w:name w:val="批注框文本 Char"/>
    <w:basedOn w:val="39"/>
    <w:link w:val="22"/>
    <w:qFormat/>
    <w:uiPriority w:val="0"/>
    <w:rPr>
      <w:rFonts w:ascii="Times New Roman" w:hAnsi="Times New Roman" w:eastAsia="宋体" w:cs="Times New Roman"/>
      <w:sz w:val="18"/>
      <w:szCs w:val="18"/>
    </w:rPr>
  </w:style>
  <w:style w:type="paragraph" w:customStyle="1" w:styleId="75">
    <w:name w:val="Char Char Char"/>
    <w:basedOn w:val="1"/>
    <w:qFormat/>
    <w:uiPriority w:val="0"/>
    <w:rPr>
      <w:rFonts w:ascii="Tahoma" w:hAnsi="Tahoma"/>
      <w:sz w:val="24"/>
    </w:rPr>
  </w:style>
  <w:style w:type="paragraph" w:customStyle="1" w:styleId="76">
    <w:name w:val="Char Char Char Char Char Char Char Char Char Char"/>
    <w:basedOn w:val="1"/>
    <w:qFormat/>
    <w:uiPriority w:val="0"/>
    <w:rPr>
      <w:rFonts w:ascii="Tahoma" w:hAnsi="Tahoma" w:cs="仿宋_GB2312"/>
      <w:sz w:val="24"/>
    </w:rPr>
  </w:style>
  <w:style w:type="character" w:customStyle="1" w:styleId="77">
    <w:name w:val="批注文字 Char"/>
    <w:basedOn w:val="39"/>
    <w:link w:val="9"/>
    <w:semiHidden/>
    <w:qFormat/>
    <w:uiPriority w:val="99"/>
    <w:rPr>
      <w:rFonts w:ascii="Times New Roman" w:hAnsi="Times New Roman" w:eastAsia="宋体" w:cs="Times New Roman"/>
      <w:szCs w:val="20"/>
    </w:rPr>
  </w:style>
  <w:style w:type="character" w:customStyle="1" w:styleId="78">
    <w:name w:val="批注主题 Char"/>
    <w:basedOn w:val="77"/>
    <w:link w:val="34"/>
    <w:semiHidden/>
    <w:qFormat/>
    <w:uiPriority w:val="99"/>
    <w:rPr>
      <w:rFonts w:ascii="Times New Roman" w:hAnsi="Times New Roman" w:eastAsia="宋体" w:cs="Times New Roman"/>
      <w:b/>
      <w:bCs/>
      <w:szCs w:val="20"/>
    </w:rPr>
  </w:style>
  <w:style w:type="paragraph" w:customStyle="1" w:styleId="79">
    <w:name w:val="Char Char Char Char Char Char"/>
    <w:basedOn w:val="1"/>
    <w:qFormat/>
    <w:uiPriority w:val="0"/>
  </w:style>
  <w:style w:type="character" w:customStyle="1" w:styleId="80">
    <w:name w:val="纯文本 Char"/>
    <w:link w:val="18"/>
    <w:qFormat/>
    <w:uiPriority w:val="0"/>
    <w:rPr>
      <w:rFonts w:ascii="宋体" w:hAnsi="Courier New" w:eastAsia="宋体"/>
    </w:rPr>
  </w:style>
  <w:style w:type="character" w:customStyle="1" w:styleId="81">
    <w:name w:val="纯文本 Char1"/>
    <w:basedOn w:val="39"/>
    <w:semiHidden/>
    <w:qFormat/>
    <w:uiPriority w:val="99"/>
    <w:rPr>
      <w:rFonts w:ascii="宋体" w:hAnsi="Courier New" w:eastAsia="宋体" w:cs="Courier New"/>
      <w:szCs w:val="21"/>
    </w:rPr>
  </w:style>
  <w:style w:type="paragraph" w:customStyle="1" w:styleId="82">
    <w:name w:val="Char12 Char Char Char"/>
    <w:basedOn w:val="1"/>
    <w:qFormat/>
    <w:uiPriority w:val="0"/>
  </w:style>
  <w:style w:type="character" w:customStyle="1" w:styleId="83">
    <w:name w:val="文档结构图 Char"/>
    <w:basedOn w:val="39"/>
    <w:link w:val="8"/>
    <w:qFormat/>
    <w:uiPriority w:val="0"/>
    <w:rPr>
      <w:rFonts w:ascii="Times New Roman" w:hAnsi="Times New Roman" w:eastAsia="宋体" w:cs="Times New Roman"/>
      <w:szCs w:val="20"/>
      <w:shd w:val="clear" w:color="auto" w:fill="000080"/>
    </w:rPr>
  </w:style>
  <w:style w:type="character" w:customStyle="1" w:styleId="84">
    <w:name w:val="style29"/>
    <w:qFormat/>
    <w:uiPriority w:val="0"/>
  </w:style>
  <w:style w:type="character" w:customStyle="1" w:styleId="85">
    <w:name w:val="正文1"/>
    <w:qFormat/>
    <w:uiPriority w:val="0"/>
  </w:style>
  <w:style w:type="character" w:customStyle="1" w:styleId="86">
    <w:name w:val="font11"/>
    <w:qFormat/>
    <w:uiPriority w:val="0"/>
    <w:rPr>
      <w:rFonts w:hint="default" w:ascii="Times New Roman" w:hAnsi="Times New Roman" w:cs="Times New Roman"/>
      <w:color w:val="3366FF"/>
      <w:sz w:val="24"/>
      <w:szCs w:val="24"/>
      <w:u w:val="none"/>
    </w:rPr>
  </w:style>
  <w:style w:type="character" w:customStyle="1" w:styleId="87">
    <w:name w:val="font21"/>
    <w:qFormat/>
    <w:uiPriority w:val="0"/>
    <w:rPr>
      <w:rFonts w:hint="eastAsia" w:ascii="宋体" w:hAnsi="宋体" w:eastAsia="宋体"/>
      <w:color w:val="3366FF"/>
      <w:sz w:val="24"/>
      <w:szCs w:val="24"/>
      <w:u w:val="none"/>
    </w:rPr>
  </w:style>
  <w:style w:type="paragraph" w:customStyle="1" w:styleId="88">
    <w:name w:val="Char Char15"/>
    <w:basedOn w:val="1"/>
    <w:qFormat/>
    <w:uiPriority w:val="0"/>
    <w:rPr>
      <w:rFonts w:ascii="Tahoma" w:hAnsi="Tahoma" w:eastAsia="仿宋_GB2312"/>
      <w:sz w:val="24"/>
    </w:rPr>
  </w:style>
  <w:style w:type="paragraph" w:customStyle="1" w:styleId="89">
    <w:name w:val="列出段落1"/>
    <w:basedOn w:val="1"/>
    <w:qFormat/>
    <w:uiPriority w:val="0"/>
    <w:pPr>
      <w:ind w:firstLine="420" w:firstLineChars="200"/>
    </w:pPr>
    <w:rPr>
      <w:rFonts w:ascii="Calibri" w:hAnsi="Calibri"/>
      <w:szCs w:val="22"/>
    </w:rPr>
  </w:style>
  <w:style w:type="paragraph" w:customStyle="1" w:styleId="90">
    <w:name w:val="Char2"/>
    <w:basedOn w:val="1"/>
    <w:qFormat/>
    <w:uiPriority w:val="0"/>
    <w:pPr>
      <w:tabs>
        <w:tab w:val="left" w:pos="360"/>
      </w:tabs>
    </w:pPr>
    <w:rPr>
      <w:sz w:val="24"/>
      <w:szCs w:val="24"/>
    </w:rPr>
  </w:style>
  <w:style w:type="paragraph" w:customStyle="1" w:styleId="91">
    <w:name w:val="Char16"/>
    <w:basedOn w:val="1"/>
    <w:qFormat/>
    <w:uiPriority w:val="0"/>
    <w:rPr>
      <w:rFonts w:ascii="Tahoma" w:hAnsi="Tahoma" w:eastAsia="仿宋_GB2312"/>
      <w:sz w:val="24"/>
    </w:rPr>
  </w:style>
  <w:style w:type="paragraph" w:customStyle="1" w:styleId="92">
    <w:name w:val="Char Char1"/>
    <w:basedOn w:val="1"/>
    <w:qFormat/>
    <w:uiPriority w:val="0"/>
    <w:rPr>
      <w:rFonts w:ascii="Tahoma" w:hAnsi="Tahoma"/>
      <w:sz w:val="24"/>
    </w:rPr>
  </w:style>
  <w:style w:type="paragraph" w:customStyle="1" w:styleId="93">
    <w:name w:val="Char Char Char Char Char Char Char"/>
    <w:basedOn w:val="1"/>
    <w:qFormat/>
    <w:uiPriority w:val="0"/>
    <w:rPr>
      <w:szCs w:val="24"/>
    </w:rPr>
  </w:style>
  <w:style w:type="paragraph" w:customStyle="1" w:styleId="94">
    <w:name w:val="Char Char"/>
    <w:basedOn w:val="1"/>
    <w:qFormat/>
    <w:uiPriority w:val="0"/>
    <w:rPr>
      <w:rFonts w:ascii="Tahoma" w:hAnsi="Tahoma" w:cs="仿宋_GB2312"/>
      <w:sz w:val="24"/>
    </w:rPr>
  </w:style>
  <w:style w:type="paragraph" w:customStyle="1" w:styleId="95">
    <w:name w:val="Char Char2"/>
    <w:basedOn w:val="1"/>
    <w:qFormat/>
    <w:uiPriority w:val="0"/>
    <w:rPr>
      <w:rFonts w:ascii="Tahoma" w:hAnsi="Tahoma" w:cs="仿宋_GB2312"/>
      <w:sz w:val="24"/>
    </w:rPr>
  </w:style>
  <w:style w:type="paragraph" w:customStyle="1" w:styleId="96">
    <w:name w:val="Char Char Char1"/>
    <w:basedOn w:val="1"/>
    <w:qFormat/>
    <w:uiPriority w:val="0"/>
    <w:rPr>
      <w:rFonts w:ascii="Tahoma" w:hAnsi="Tahoma"/>
      <w:sz w:val="24"/>
    </w:rPr>
  </w:style>
  <w:style w:type="paragraph" w:customStyle="1" w:styleId="97">
    <w:name w:val="D&amp;L"/>
    <w:basedOn w:val="24"/>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8">
    <w:name w:val="正文文本 3 Char"/>
    <w:basedOn w:val="39"/>
    <w:link w:val="10"/>
    <w:qFormat/>
    <w:uiPriority w:val="99"/>
    <w:rPr>
      <w:rFonts w:ascii="Calibri" w:hAnsi="Calibri" w:eastAsia="宋体" w:cs="Times New Roman"/>
      <w:sz w:val="16"/>
      <w:szCs w:val="16"/>
      <w:lang w:val="zh-CN" w:eastAsia="zh-CN"/>
    </w:rPr>
  </w:style>
  <w:style w:type="paragraph" w:customStyle="1" w:styleId="9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0">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1">
    <w:name w:val="style23"/>
    <w:qFormat/>
    <w:uiPriority w:val="0"/>
    <w:rPr>
      <w:rFonts w:ascii="Times New Roman" w:hAnsi="Times New Roman" w:eastAsia="宋体"/>
    </w:rPr>
  </w:style>
  <w:style w:type="paragraph" w:customStyle="1" w:styleId="102">
    <w:name w:val="p0"/>
    <w:basedOn w:val="1"/>
    <w:qFormat/>
    <w:uiPriority w:val="0"/>
    <w:pPr>
      <w:widowControl/>
      <w:jc w:val="left"/>
    </w:pPr>
    <w:rPr>
      <w:rFonts w:ascii="等线" w:hAnsi="等线" w:eastAsia="等线" w:cs="等线"/>
      <w:kern w:val="0"/>
      <w:sz w:val="20"/>
      <w:szCs w:val="22"/>
    </w:rPr>
  </w:style>
  <w:style w:type="paragraph" w:customStyle="1" w:styleId="103">
    <w:name w:val="列表段落1"/>
    <w:basedOn w:val="1"/>
    <w:qFormat/>
    <w:uiPriority w:val="34"/>
    <w:pPr>
      <w:ind w:firstLine="420" w:firstLineChars="200"/>
    </w:pPr>
    <w:rPr>
      <w:szCs w:val="24"/>
    </w:rPr>
  </w:style>
  <w:style w:type="paragraph" w:customStyle="1" w:styleId="104">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105">
    <w:name w:val="Table Paragraph"/>
    <w:basedOn w:val="1"/>
    <w:qFormat/>
    <w:uiPriority w:val="1"/>
  </w:style>
  <w:style w:type="character" w:customStyle="1" w:styleId="106">
    <w:name w:val="标题 2 Char1"/>
    <w:link w:val="4"/>
    <w:qFormat/>
    <w:uiPriority w:val="0"/>
    <w:rPr>
      <w:rFonts w:ascii="Arial" w:hAnsi="Arial" w:eastAsia="黑体"/>
      <w:b/>
      <w:bCs/>
      <w:sz w:val="32"/>
      <w:szCs w:val="32"/>
    </w:rPr>
  </w:style>
  <w:style w:type="paragraph" w:styleId="107">
    <w:name w:val="List Paragraph"/>
    <w:basedOn w:val="1"/>
    <w:qFormat/>
    <w:uiPriority w:val="99"/>
    <w:pPr>
      <w:ind w:firstLine="420" w:firstLineChars="200"/>
    </w:pPr>
  </w:style>
  <w:style w:type="table" w:customStyle="1" w:styleId="108">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109">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0">
    <w:name w:val="hover"/>
    <w:basedOn w:val="39"/>
    <w:qFormat/>
    <w:uiPriority w:val="0"/>
    <w:rPr>
      <w:color w:val="2590EB"/>
    </w:rPr>
  </w:style>
  <w:style w:type="character" w:customStyle="1" w:styleId="111">
    <w:name w:val="hover1"/>
    <w:basedOn w:val="39"/>
    <w:qFormat/>
    <w:uiPriority w:val="0"/>
    <w:rPr>
      <w:color w:val="2590EB"/>
      <w:shd w:val="clear" w:color="auto" w:fill="E9F4FD"/>
    </w:rPr>
  </w:style>
  <w:style w:type="character" w:customStyle="1" w:styleId="112">
    <w:name w:val="hover2"/>
    <w:basedOn w:val="39"/>
    <w:qFormat/>
    <w:uiPriority w:val="0"/>
    <w:rPr>
      <w:color w:val="2590EB"/>
    </w:rPr>
  </w:style>
  <w:style w:type="character" w:customStyle="1" w:styleId="113">
    <w:name w:val="hover3"/>
    <w:basedOn w:val="39"/>
    <w:qFormat/>
    <w:uiPriority w:val="0"/>
  </w:style>
  <w:style w:type="character" w:customStyle="1" w:styleId="114">
    <w:name w:val="fontstyle01"/>
    <w:basedOn w:val="39"/>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26034</Words>
  <Characters>27031</Characters>
  <Lines>20</Lines>
  <Paragraphs>57</Paragraphs>
  <TotalTime>13</TotalTime>
  <ScaleCrop>false</ScaleCrop>
  <LinksUpToDate>false</LinksUpToDate>
  <CharactersWithSpaces>27798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2023-02-09T11:21:00Z</dcterms:created>
  <dc:creator>朱少尉</dc:creator>
  <cp:lastModifiedBy>NTKO</cp:lastModifiedBy>
  <cp:lastPrinted>2023-03-08T03:11:00Z</cp:lastPrinted>
  <dcterms:modified xsi:type="dcterms:W3CDTF">2023-03-15T02:44:52Z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615B4C64155543ADB3198C878C246B3E</vt:lpwstr>
  </property>
</Properties>
</file>