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600" w:lineRule="auto"/>
        <w:jc w:val="center"/>
        <w:rPr>
          <w:rFonts w:hint="eastAsia" w:ascii="宋体" w:hAnsi="宋体"/>
          <w:b/>
          <w:spacing w:val="0"/>
          <w:sz w:val="48"/>
          <w:szCs w:val="48"/>
          <w:lang w:eastAsia="zh-CN"/>
        </w:rPr>
      </w:pPr>
    </w:p>
    <w:p>
      <w:pPr>
        <w:pStyle w:val="29"/>
        <w:spacing w:line="600" w:lineRule="auto"/>
        <w:jc w:val="center"/>
        <w:rPr>
          <w:spacing w:val="130"/>
          <w:sz w:val="48"/>
          <w:szCs w:val="48"/>
        </w:rPr>
      </w:pPr>
      <w:r>
        <w:rPr>
          <w:rFonts w:hint="eastAsia" w:ascii="宋体" w:hAnsi="宋体"/>
          <w:b/>
          <w:spacing w:val="130"/>
          <w:sz w:val="48"/>
          <w:szCs w:val="48"/>
          <w:lang w:eastAsia="zh-CN"/>
        </w:rPr>
        <w:t>城东幼儿园改扩建工程</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jc w:val="center"/>
        <w:rPr>
          <w:rFonts w:hint="default" w:ascii="宋体" w:hAnsi="宋体" w:eastAsia="宋体"/>
          <w:b w:val="0"/>
          <w:bCs/>
          <w:sz w:val="30"/>
          <w:szCs w:val="30"/>
          <w:lang w:val="en-US" w:eastAsia="zh-CN"/>
        </w:rPr>
      </w:pPr>
      <w:r>
        <w:rPr>
          <w:rFonts w:hint="eastAsia" w:ascii="宋体" w:hAnsi="宋体"/>
          <w:b w:val="0"/>
          <w:bCs/>
          <w:sz w:val="30"/>
          <w:szCs w:val="30"/>
          <w:lang w:val="en-US" w:eastAsia="zh-CN"/>
        </w:rPr>
        <w:t>项目编号：AHHYZX-2023014</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ind w:firstLine="2249" w:firstLineChars="700"/>
        <w:jc w:val="both"/>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霍山县衡山镇城关中心学校</w:t>
      </w:r>
    </w:p>
    <w:p>
      <w:pPr>
        <w:spacing w:line="360" w:lineRule="auto"/>
        <w:ind w:firstLine="2249" w:firstLineChars="7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安徽衡宇工程咨询有限公司</w:t>
      </w:r>
    </w:p>
    <w:p>
      <w:pPr>
        <w:spacing w:line="360" w:lineRule="auto"/>
        <w:ind w:firstLine="2249" w:firstLineChars="7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6"/>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城东幼儿园改扩建工程</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城东幼儿园改扩建工程</w:t>
      </w:r>
      <w:r>
        <w:rPr>
          <w:rFonts w:hint="eastAsia" w:ascii="仿宋" w:hAnsi="仿宋" w:eastAsia="仿宋" w:cs="仿宋"/>
          <w:sz w:val="28"/>
          <w:szCs w:val="28"/>
        </w:rPr>
        <w:t>的供应商应在六安市公共资源交易电子服务系统（</w:t>
      </w:r>
      <w:r>
        <w:rPr>
          <w:color w:val="auto"/>
        </w:rPr>
        <w:fldChar w:fldCharType="begin"/>
      </w:r>
      <w:r>
        <w:rPr>
          <w:color w:val="auto"/>
        </w:rPr>
        <w:instrText xml:space="preserve"> HYPERLINK "http://ggzy.luan.gov.cn）获取采购文件，并于2022年11月" </w:instrText>
      </w:r>
      <w:r>
        <w:rPr>
          <w:color w:val="auto"/>
        </w:rPr>
        <w:fldChar w:fldCharType="separate"/>
      </w:r>
      <w:r>
        <w:rPr>
          <w:rStyle w:val="46"/>
          <w:rFonts w:hint="eastAsia" w:ascii="仿宋" w:hAnsi="仿宋" w:eastAsia="仿宋" w:cs="仿宋"/>
          <w:color w:val="auto"/>
          <w:sz w:val="28"/>
          <w:szCs w:val="28"/>
        </w:rPr>
        <w:t>http://ggzy.luan.gov.cn）</w:t>
      </w:r>
      <w:r>
        <w:rPr>
          <w:rStyle w:val="46"/>
          <w:rFonts w:hint="eastAsia" w:ascii="仿宋" w:hAnsi="仿宋" w:eastAsia="仿宋" w:cs="仿宋"/>
          <w:color w:val="auto"/>
          <w:sz w:val="28"/>
          <w:szCs w:val="28"/>
          <w:lang w:eastAsia="zh-CN"/>
        </w:rPr>
        <w:t>、</w:t>
      </w:r>
      <w:r>
        <w:rPr>
          <w:rStyle w:val="46"/>
          <w:rFonts w:hint="eastAsia" w:ascii="仿宋" w:hAnsi="仿宋" w:eastAsia="仿宋" w:cs="仿宋"/>
          <w:color w:val="auto"/>
          <w:sz w:val="28"/>
          <w:szCs w:val="28"/>
          <w:lang w:val="en-US" w:eastAsia="zh-CN"/>
        </w:rPr>
        <w:t>安徽衡宇工程咨询有限公司（http://www.ahhygczx.com/)“</w:t>
      </w:r>
      <w:r>
        <w:rPr>
          <w:rStyle w:val="46"/>
          <w:rFonts w:hint="eastAsia" w:ascii="仿宋" w:hAnsi="仿宋" w:eastAsia="仿宋" w:cs="仿宋"/>
          <w:color w:val="auto"/>
          <w:sz w:val="28"/>
          <w:szCs w:val="28"/>
        </w:rPr>
        <w:t>获取采购文件，并于202</w:t>
      </w:r>
      <w:r>
        <w:rPr>
          <w:rStyle w:val="46"/>
          <w:rFonts w:hint="eastAsia" w:ascii="仿宋" w:hAnsi="仿宋" w:eastAsia="仿宋" w:cs="仿宋"/>
          <w:color w:val="auto"/>
          <w:sz w:val="28"/>
          <w:szCs w:val="28"/>
          <w:lang w:val="en-US" w:eastAsia="zh-CN"/>
        </w:rPr>
        <w:t>3</w:t>
      </w:r>
      <w:r>
        <w:rPr>
          <w:rStyle w:val="46"/>
          <w:rFonts w:hint="eastAsia" w:ascii="仿宋" w:hAnsi="仿宋" w:eastAsia="仿宋" w:cs="仿宋"/>
          <w:color w:val="auto"/>
          <w:sz w:val="28"/>
          <w:szCs w:val="28"/>
        </w:rPr>
        <w:t>年</w:t>
      </w:r>
      <w:r>
        <w:rPr>
          <w:rStyle w:val="46"/>
          <w:rFonts w:hint="eastAsia" w:ascii="仿宋" w:hAnsi="仿宋" w:eastAsia="仿宋" w:cs="仿宋"/>
          <w:color w:val="auto"/>
          <w:sz w:val="28"/>
          <w:szCs w:val="28"/>
          <w:lang w:val="en-US" w:eastAsia="zh-CN"/>
        </w:rPr>
        <w:t>6</w:t>
      </w:r>
      <w:r>
        <w:rPr>
          <w:rStyle w:val="46"/>
          <w:rFonts w:hint="eastAsia" w:ascii="仿宋" w:hAnsi="仿宋" w:eastAsia="仿宋" w:cs="仿宋"/>
          <w:color w:val="auto"/>
          <w:sz w:val="28"/>
          <w:szCs w:val="28"/>
        </w:rPr>
        <w:t>月</w:t>
      </w:r>
      <w:r>
        <w:rPr>
          <w:rStyle w:val="46"/>
          <w:rFonts w:hint="eastAsia" w:ascii="仿宋" w:hAnsi="仿宋" w:eastAsia="仿宋" w:cs="仿宋"/>
          <w:color w:val="auto"/>
          <w:sz w:val="28"/>
          <w:szCs w:val="28"/>
        </w:rPr>
        <w:fldChar w:fldCharType="end"/>
      </w:r>
      <w:r>
        <w:rPr>
          <w:rFonts w:hint="eastAsia" w:ascii="仿宋" w:hAnsi="仿宋" w:eastAsia="仿宋" w:cs="仿宋"/>
          <w:color w:val="auto"/>
          <w:sz w:val="28"/>
          <w:szCs w:val="28"/>
          <w:u w:val="none"/>
          <w:lang w:val="en-US" w:eastAsia="zh-CN"/>
        </w:rPr>
        <w:t>21</w:t>
      </w:r>
      <w:r>
        <w:rPr>
          <w:rFonts w:hint="eastAsia" w:ascii="仿宋" w:hAnsi="仿宋" w:eastAsia="仿宋" w:cs="仿宋"/>
          <w:color w:val="auto"/>
          <w:sz w:val="28"/>
          <w:szCs w:val="28"/>
        </w:rPr>
        <w:t>日</w:t>
      </w:r>
      <w:r>
        <w:rPr>
          <w:rFonts w:hint="eastAsia" w:ascii="仿宋" w:hAnsi="仿宋" w:eastAsia="仿宋" w:cs="仿宋"/>
          <w:color w:val="auto"/>
          <w:sz w:val="28"/>
          <w:szCs w:val="28"/>
          <w:u w:val="none"/>
          <w:lang w:val="en-US" w:eastAsia="zh-CN"/>
        </w:rPr>
        <w:t>9</w:t>
      </w:r>
      <w:r>
        <w:rPr>
          <w:rFonts w:hint="eastAsia" w:ascii="仿宋" w:hAnsi="仿宋" w:eastAsia="仿宋" w:cs="仿宋"/>
          <w:color w:val="auto"/>
          <w:sz w:val="28"/>
          <w:szCs w:val="28"/>
          <w:u w:val="none"/>
        </w:rPr>
        <w:t>点</w:t>
      </w:r>
      <w:r>
        <w:rPr>
          <w:rFonts w:hint="eastAsia" w:ascii="仿宋" w:hAnsi="仿宋" w:eastAsia="仿宋" w:cs="仿宋"/>
          <w:color w:val="auto"/>
          <w:sz w:val="28"/>
          <w:szCs w:val="28"/>
          <w:u w:val="none"/>
          <w:lang w:val="en-US" w:eastAsia="zh-CN"/>
        </w:rPr>
        <w:t xml:space="preserve">00 </w:t>
      </w:r>
      <w:r>
        <w:rPr>
          <w:rFonts w:hint="eastAsia" w:ascii="仿宋" w:hAnsi="仿宋" w:eastAsia="仿宋" w:cs="仿宋"/>
          <w:color w:val="auto"/>
          <w:sz w:val="28"/>
          <w:szCs w:val="28"/>
        </w:rPr>
        <w:t>分</w:t>
      </w:r>
      <w:r>
        <w:rPr>
          <w:rFonts w:hint="eastAsia" w:ascii="仿宋" w:hAnsi="仿宋" w:eastAsia="仿宋" w:cs="仿宋"/>
          <w:sz w:val="28"/>
          <w:szCs w:val="28"/>
        </w:rPr>
        <w:t>（北京时间）前提交响应文件。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28359089"/>
      <w:bookmarkStart w:id="5" w:name="_Toc35393798"/>
      <w:bookmarkStart w:id="6" w:name="_Toc28359012"/>
      <w:bookmarkStart w:id="7" w:name="_Toc7777"/>
      <w:bookmarkStart w:id="8" w:name="_Toc3539362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城东幼儿园改扩建工程</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项目编号：AHHYZX-2023014</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color w:val="auto"/>
          <w:sz w:val="28"/>
          <w:szCs w:val="28"/>
          <w:lang w:val="en-US" w:eastAsia="zh-CN"/>
        </w:rPr>
        <w:t>530287.50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530287.50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、采购需求：本项目</w:t>
      </w:r>
      <w:bookmarkStart w:id="9" w:name="_Hlk117796205"/>
      <w:r>
        <w:rPr>
          <w:rFonts w:hint="eastAsia" w:ascii="仿宋" w:hAnsi="仿宋" w:eastAsia="仿宋" w:cs="仿宋"/>
          <w:color w:val="auto"/>
          <w:sz w:val="28"/>
          <w:szCs w:val="28"/>
        </w:rPr>
        <w:t>位于</w:t>
      </w:r>
      <w:r>
        <w:rPr>
          <w:rFonts w:hint="eastAsia" w:ascii="仿宋" w:hAnsi="仿宋" w:eastAsia="仿宋" w:cs="仿宋"/>
          <w:color w:val="auto"/>
          <w:sz w:val="28"/>
          <w:szCs w:val="28"/>
          <w:lang w:val="en-US" w:eastAsia="zh-CN"/>
        </w:rPr>
        <w:t>霍山县</w:t>
      </w:r>
      <w:bookmarkEnd w:id="9"/>
      <w:r>
        <w:rPr>
          <w:rFonts w:hint="eastAsia" w:ascii="仿宋" w:hAnsi="仿宋" w:eastAsia="仿宋" w:cs="仿宋"/>
          <w:color w:val="auto"/>
          <w:sz w:val="28"/>
          <w:szCs w:val="28"/>
          <w:lang w:val="en-US" w:eastAsia="zh-CN"/>
        </w:rPr>
        <w:t>城东幼儿园，工程内容包括塑胶操场维修、拆除及新建台阶、原沙池半边步道拆除及恢复、儿童水池制作、戏水池面层修补、新建洗手池及洗脚池、起伏式山坡等，工程造价约为53万元（详见工程量清单及图纸）。</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u w:val="single"/>
          <w:lang w:val="en-US"/>
        </w:rPr>
      </w:pPr>
      <w:r>
        <w:rPr>
          <w:rFonts w:hint="eastAsia" w:ascii="仿宋" w:hAnsi="仿宋" w:eastAsia="仿宋" w:cs="仿宋"/>
          <w:sz w:val="28"/>
          <w:szCs w:val="28"/>
          <w:lang w:val="en-US" w:eastAsia="zh-CN"/>
        </w:rPr>
        <w:t>8</w:t>
      </w:r>
      <w:r>
        <w:rPr>
          <w:rFonts w:hint="eastAsia" w:ascii="仿宋" w:hAnsi="仿宋" w:eastAsia="仿宋" w:cs="仿宋"/>
          <w:sz w:val="28"/>
          <w:szCs w:val="28"/>
        </w:rPr>
        <w:t>、合同履行期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45日历天(2023年8月15日前完工）</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bookmarkStart w:id="10" w:name="_Toc35393799"/>
      <w:bookmarkStart w:id="11" w:name="_Toc28359013"/>
      <w:bookmarkStart w:id="12" w:name="_Toc35393630"/>
      <w:bookmarkStart w:id="13" w:name="_Toc28359090"/>
      <w:bookmarkStart w:id="14" w:name="_Toc11070"/>
      <w:r>
        <w:rPr>
          <w:rFonts w:hint="eastAsia" w:ascii="黑体" w:hAnsi="黑体" w:cs="黑体"/>
          <w:b w:val="0"/>
          <w:bCs/>
          <w:sz w:val="28"/>
          <w:szCs w:val="28"/>
        </w:rPr>
        <w:t>二、申请人的资格要求</w:t>
      </w:r>
      <w:bookmarkEnd w:id="10"/>
      <w:bookmarkEnd w:id="11"/>
      <w:bookmarkEnd w:id="12"/>
      <w:bookmarkEnd w:id="13"/>
      <w:bookmarkEnd w:id="14"/>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bookmarkStart w:id="15" w:name="_Toc28359091"/>
      <w:bookmarkStart w:id="16"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w:t>
      </w:r>
      <w:r>
        <w:rPr>
          <w:rFonts w:hint="eastAsia" w:ascii="仿宋" w:hAnsi="仿宋" w:eastAsia="仿宋" w:cs="仿宋"/>
          <w:color w:val="auto"/>
          <w:sz w:val="28"/>
          <w:szCs w:val="28"/>
          <w:lang w:val="en-US" w:eastAsia="zh-CN"/>
        </w:rPr>
        <w:t>备市政公用工程</w:t>
      </w:r>
      <w:r>
        <w:rPr>
          <w:rFonts w:hint="eastAsia" w:ascii="仿宋" w:hAnsi="仿宋" w:eastAsia="仿宋" w:cs="仿宋"/>
          <w:color w:val="auto"/>
          <w:sz w:val="28"/>
          <w:szCs w:val="28"/>
        </w:rPr>
        <w:t>施</w:t>
      </w:r>
      <w:r>
        <w:rPr>
          <w:rFonts w:hint="eastAsia" w:ascii="仿宋" w:hAnsi="仿宋" w:eastAsia="仿宋" w:cs="仿宋"/>
          <w:sz w:val="28"/>
          <w:szCs w:val="28"/>
        </w:rPr>
        <w:t>工总承包三级及以上资质，具有有效安全生产许可证；</w:t>
      </w:r>
    </w:p>
    <w:p>
      <w:pPr>
        <w:pageBreakBefore w:val="0"/>
        <w:kinsoku/>
        <w:wordWrap/>
        <w:overflowPunct/>
        <w:topLinePunct w:val="0"/>
        <w:autoSpaceDE/>
        <w:autoSpaceDN/>
        <w:bidi w:val="0"/>
        <w:adjustRightInd/>
        <w:snapToGrid/>
        <w:spacing w:line="42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）拟派项目经理（建造师）应具有</w:t>
      </w:r>
      <w:r>
        <w:rPr>
          <w:rFonts w:hint="eastAsia" w:ascii="仿宋" w:hAnsi="仿宋" w:eastAsia="仿宋" w:cs="仿宋"/>
          <w:sz w:val="28"/>
          <w:szCs w:val="28"/>
          <w:lang w:val="en-US" w:eastAsia="zh-CN"/>
        </w:rPr>
        <w:t>市政公用工程</w:t>
      </w:r>
      <w:r>
        <w:rPr>
          <w:rFonts w:hint="eastAsia" w:ascii="仿宋" w:hAnsi="仿宋" w:eastAsia="仿宋" w:cs="仿宋"/>
          <w:sz w:val="28"/>
          <w:szCs w:val="28"/>
        </w:rPr>
        <w:t>专业二级及以上注册建造师证书及B类安全生产考核合格证书；无在建工程（提供无在建承诺函，格式参考附件）。</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w:t>
      </w:r>
      <w:r>
        <w:rPr>
          <w:rFonts w:hint="eastAsia" w:ascii="仿宋" w:hAnsi="仿宋" w:eastAsia="仿宋" w:cs="仿宋"/>
          <w:b/>
          <w:bCs/>
          <w:kern w:val="2"/>
          <w:sz w:val="28"/>
          <w:szCs w:val="28"/>
          <w:lang w:val="en-US" w:eastAsia="zh-CN" w:bidi="ar-SA"/>
        </w:rPr>
        <w:t>项目经理、技术负责人、施工员、安全员、质量员</w:t>
      </w:r>
      <w:r>
        <w:rPr>
          <w:rFonts w:hint="eastAsia" w:ascii="仿宋" w:hAnsi="仿宋" w:eastAsia="仿宋" w:cs="仿宋"/>
          <w:kern w:val="2"/>
          <w:sz w:val="28"/>
          <w:szCs w:val="28"/>
          <w:lang w:val="en-US" w:eastAsia="zh-CN" w:bidi="ar-SA"/>
        </w:rPr>
        <w:t>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bookmarkStart w:id="17" w:name="_Toc35393631"/>
      <w:bookmarkStart w:id="18" w:name="_Toc35393800"/>
      <w:bookmarkStart w:id="19" w:name="_Toc15899"/>
      <w:r>
        <w:rPr>
          <w:rFonts w:hint="eastAsia" w:ascii="黑体" w:hAnsi="黑体" w:cs="黑体"/>
          <w:b w:val="0"/>
          <w:bCs/>
          <w:sz w:val="28"/>
          <w:szCs w:val="28"/>
        </w:rPr>
        <w:t>三、获取采购文件</w:t>
      </w:r>
      <w:bookmarkEnd w:id="15"/>
      <w:bookmarkEnd w:id="16"/>
      <w:bookmarkEnd w:id="17"/>
      <w:bookmarkEnd w:id="18"/>
      <w:bookmarkEnd w:id="19"/>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1、时间：自公告发布之日起至谈判时间前</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eastAsia="zh-CN"/>
        </w:rPr>
      </w:pPr>
      <w:bookmarkStart w:id="20" w:name="_Toc35393801"/>
      <w:bookmarkStart w:id="21" w:name="_Toc28359015"/>
      <w:bookmarkStart w:id="22" w:name="_Toc28359092"/>
      <w:bookmarkStart w:id="23" w:name="_Toc35393632"/>
      <w:bookmarkStart w:id="24" w:name="_Toc13207"/>
      <w:r>
        <w:rPr>
          <w:rFonts w:hint="eastAsia" w:ascii="仿宋" w:hAnsi="仿宋" w:eastAsia="仿宋" w:cs="仿宋"/>
          <w:sz w:val="28"/>
          <w:szCs w:val="28"/>
        </w:rPr>
        <w:t>2、地点：六安市公共资源交易电子服务系统（http://ggzy.luan.gov.cn）</w:t>
      </w:r>
      <w:r>
        <w:rPr>
          <w:rFonts w:hint="eastAsia" w:ascii="仿宋" w:hAnsi="仿宋" w:eastAsia="仿宋" w:cs="仿宋"/>
          <w:sz w:val="28"/>
          <w:szCs w:val="28"/>
          <w:lang w:eastAsia="zh-CN"/>
        </w:rPr>
        <w:t>、</w:t>
      </w:r>
      <w:r>
        <w:rPr>
          <w:rFonts w:hint="eastAsia" w:ascii="仿宋" w:hAnsi="仿宋" w:eastAsia="仿宋" w:cs="仿宋"/>
          <w:sz w:val="28"/>
          <w:szCs w:val="28"/>
        </w:rPr>
        <w:t>安徽衡宇工程咨询有限公司（http://www.ahhygczx.com/)</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rPr>
      </w:pPr>
      <w:r>
        <w:rPr>
          <w:rFonts w:hint="eastAsia" w:ascii="仿宋" w:hAnsi="仿宋" w:eastAsia="仿宋" w:cs="仿宋"/>
          <w:sz w:val="28"/>
          <w:szCs w:val="28"/>
        </w:rPr>
        <w:t>3、获取方式：请供应商自行到安徽衡宇工程咨询有限公司（http://www.ahhygczx.com/)“招标公告”栏中下载本项目</w:t>
      </w:r>
      <w:r>
        <w:rPr>
          <w:rFonts w:hint="eastAsia" w:ascii="仿宋" w:hAnsi="仿宋" w:eastAsia="仿宋" w:cs="仿宋"/>
          <w:sz w:val="28"/>
          <w:szCs w:val="28"/>
          <w:lang w:eastAsia="zh-CN"/>
        </w:rPr>
        <w:t>谈判</w:t>
      </w:r>
      <w:r>
        <w:rPr>
          <w:rFonts w:hint="eastAsia" w:ascii="仿宋" w:hAnsi="仿宋" w:eastAsia="仿宋" w:cs="仿宋"/>
          <w:sz w:val="28"/>
          <w:szCs w:val="28"/>
        </w:rPr>
        <w:t>文件</w:t>
      </w:r>
      <w:r>
        <w:rPr>
          <w:rFonts w:hint="eastAsia" w:ascii="仿宋" w:hAnsi="仿宋" w:eastAsia="仿宋" w:cs="仿宋"/>
          <w:sz w:val="28"/>
          <w:szCs w:val="28"/>
          <w:lang w:eastAsia="zh-CN"/>
        </w:rPr>
        <w:t>（</w:t>
      </w:r>
      <w:r>
        <w:rPr>
          <w:rFonts w:hint="eastAsia" w:ascii="仿宋" w:hAnsi="仿宋" w:eastAsia="仿宋" w:cs="仿宋"/>
          <w:sz w:val="28"/>
          <w:szCs w:val="28"/>
        </w:rPr>
        <w:t>答疑澄清等相关文件资料</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20"/>
      <w:bookmarkEnd w:id="21"/>
      <w:bookmarkEnd w:id="22"/>
      <w:bookmarkEnd w:id="23"/>
      <w:r>
        <w:rPr>
          <w:rFonts w:hint="eastAsia" w:ascii="黑体" w:hAnsi="黑体" w:cs="黑体"/>
          <w:b w:val="0"/>
          <w:bCs/>
          <w:sz w:val="28"/>
          <w:szCs w:val="28"/>
        </w:rPr>
        <w:t>提交</w:t>
      </w:r>
      <w:bookmarkEnd w:id="24"/>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21</w:t>
      </w:r>
      <w:r>
        <w:rPr>
          <w:rFonts w:hint="eastAsia" w:ascii="仿宋" w:hAnsi="仿宋" w:eastAsia="仿宋" w:cs="仿宋"/>
          <w:color w:val="FF0000"/>
          <w:sz w:val="28"/>
          <w:szCs w:val="28"/>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点</w:t>
      </w:r>
      <w:r>
        <w:rPr>
          <w:rFonts w:hint="eastAsia" w:ascii="仿宋" w:hAnsi="仿宋" w:eastAsia="仿宋" w:cs="仿宋"/>
          <w:color w:val="FF0000"/>
          <w:sz w:val="28"/>
          <w:szCs w:val="28"/>
          <w:lang w:val="en-US" w:eastAsia="zh-CN"/>
        </w:rPr>
        <w:t>00</w:t>
      </w:r>
      <w:r>
        <w:rPr>
          <w:rFonts w:hint="eastAsia" w:ascii="仿宋" w:hAnsi="仿宋" w:eastAsia="仿宋" w:cs="仿宋"/>
          <w:color w:val="FF0000"/>
          <w:sz w:val="28"/>
          <w:szCs w:val="28"/>
        </w:rPr>
        <w:t>分</w:t>
      </w:r>
      <w:r>
        <w:rPr>
          <w:rFonts w:hint="eastAsia" w:ascii="仿宋" w:hAnsi="仿宋" w:eastAsia="仿宋" w:cs="仿宋"/>
          <w:color w:val="auto"/>
          <w:sz w:val="28"/>
          <w:szCs w:val="28"/>
        </w:rPr>
        <w:t>（北京时间）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2、递交方式：现场递交</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rPr>
        <w:t>3、递交地点</w:t>
      </w:r>
      <w:r>
        <w:rPr>
          <w:rFonts w:hint="eastAsia" w:ascii="仿宋" w:hAnsi="仿宋" w:eastAsia="仿宋" w:cs="仿宋"/>
          <w:color w:val="auto"/>
          <w:sz w:val="28"/>
          <w:szCs w:val="28"/>
        </w:rPr>
        <w:t>：</w:t>
      </w:r>
      <w:r>
        <w:rPr>
          <w:rFonts w:hint="eastAsia" w:ascii="仿宋" w:hAnsi="仿宋" w:eastAsia="仿宋" w:cs="仿宋"/>
          <w:b w:val="0"/>
          <w:bCs w:val="0"/>
          <w:color w:val="auto"/>
          <w:sz w:val="28"/>
          <w:szCs w:val="28"/>
          <w:lang w:val="en-US" w:eastAsia="zh-CN"/>
        </w:rPr>
        <w:t>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bookmarkStart w:id="25" w:name="_Toc28359093"/>
      <w:bookmarkStart w:id="26" w:name="_Toc35393633"/>
      <w:bookmarkStart w:id="27" w:name="_Toc31128"/>
      <w:bookmarkStart w:id="28" w:name="_Toc28359016"/>
      <w:bookmarkStart w:id="29" w:name="_Toc35393802"/>
      <w:r>
        <w:rPr>
          <w:rFonts w:hint="eastAsia" w:ascii="黑体" w:hAnsi="黑体" w:cs="黑体"/>
          <w:b w:val="0"/>
          <w:bCs/>
          <w:sz w:val="28"/>
          <w:szCs w:val="28"/>
        </w:rPr>
        <w:t>五、响应文件开启</w:t>
      </w:r>
      <w:bookmarkEnd w:id="25"/>
      <w:bookmarkEnd w:id="26"/>
      <w:bookmarkEnd w:id="27"/>
      <w:bookmarkEnd w:id="28"/>
      <w:bookmarkEnd w:id="29"/>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FF0000"/>
          <w:sz w:val="28"/>
          <w:szCs w:val="28"/>
        </w:rPr>
      </w:pPr>
      <w:bookmarkStart w:id="30" w:name="_Toc28359094"/>
      <w:bookmarkStart w:id="31" w:name="_Toc35393803"/>
      <w:bookmarkStart w:id="32" w:name="_Toc28359017"/>
      <w:bookmarkStart w:id="33" w:name="_Toc35393634"/>
      <w:bookmarkStart w:id="34" w:name="_Toc25132"/>
      <w:r>
        <w:rPr>
          <w:rFonts w:hint="eastAsia" w:ascii="仿宋" w:hAnsi="仿宋" w:eastAsia="仿宋" w:cs="仿宋"/>
          <w:sz w:val="28"/>
          <w:szCs w:val="28"/>
        </w:rPr>
        <w:t>1、开启时间</w:t>
      </w:r>
      <w:r>
        <w:rPr>
          <w:rFonts w:hint="eastAsia" w:ascii="仿宋" w:hAnsi="仿宋" w:eastAsia="仿宋" w:cs="仿宋"/>
          <w:color w:val="auto"/>
          <w:sz w:val="28"/>
          <w:szCs w:val="28"/>
        </w:rPr>
        <w:t>：</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21</w:t>
      </w:r>
      <w:r>
        <w:rPr>
          <w:rFonts w:hint="eastAsia" w:ascii="仿宋" w:hAnsi="仿宋" w:eastAsia="仿宋" w:cs="仿宋"/>
          <w:color w:val="FF0000"/>
          <w:sz w:val="28"/>
          <w:szCs w:val="28"/>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点</w:t>
      </w:r>
      <w:r>
        <w:rPr>
          <w:rFonts w:hint="eastAsia" w:ascii="仿宋" w:hAnsi="仿宋" w:eastAsia="仿宋" w:cs="仿宋"/>
          <w:color w:val="FF0000"/>
          <w:sz w:val="28"/>
          <w:szCs w:val="28"/>
          <w:lang w:val="en-US" w:eastAsia="zh-CN"/>
        </w:rPr>
        <w:t>00</w:t>
      </w:r>
      <w:r>
        <w:rPr>
          <w:rFonts w:hint="eastAsia" w:ascii="仿宋" w:hAnsi="仿宋" w:eastAsia="仿宋" w:cs="仿宋"/>
          <w:color w:val="FF0000"/>
          <w:sz w:val="28"/>
          <w:szCs w:val="28"/>
        </w:rPr>
        <w:t>分</w:t>
      </w:r>
      <w:r>
        <w:rPr>
          <w:rFonts w:hint="eastAsia" w:ascii="仿宋" w:hAnsi="仿宋" w:eastAsia="仿宋" w:cs="仿宋"/>
          <w:color w:val="auto"/>
          <w:sz w:val="28"/>
          <w:szCs w:val="28"/>
        </w:rPr>
        <w:t>（北京时间）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2、开启地</w:t>
      </w:r>
      <w:r>
        <w:rPr>
          <w:rFonts w:hint="eastAsia" w:ascii="仿宋" w:hAnsi="仿宋" w:eastAsia="仿宋" w:cs="仿宋"/>
          <w:color w:val="auto"/>
          <w:sz w:val="28"/>
          <w:szCs w:val="28"/>
        </w:rPr>
        <w:t>点：安徽衡宇工程咨询有限公司二楼开标厅。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2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5" w:name="_Toc35393804"/>
      <w:bookmarkStart w:id="36" w:name="_Toc35393635"/>
      <w:r>
        <w:rPr>
          <w:rFonts w:hint="eastAsia" w:ascii="黑体" w:hAnsi="黑体" w:eastAsia="黑体" w:cs="黑体"/>
          <w:sz w:val="28"/>
          <w:szCs w:val="28"/>
        </w:rPr>
        <w:t>其他事宜</w:t>
      </w:r>
      <w:bookmarkEnd w:id="35"/>
      <w:bookmarkEnd w:id="36"/>
      <w:bookmarkStart w:id="37" w:name="_Toc35393805"/>
      <w:bookmarkStart w:id="38" w:name="_Toc28359095"/>
      <w:bookmarkStart w:id="39" w:name="_Toc28359018"/>
      <w:bookmarkStart w:id="40" w:name="_Toc35393636"/>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rPr>
      </w:pPr>
      <w:bookmarkStart w:id="41" w:name="_Toc21256"/>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谈判</w:t>
      </w:r>
      <w:r>
        <w:rPr>
          <w:rFonts w:hint="eastAsia" w:ascii="仿宋" w:hAnsi="仿宋" w:eastAsia="仿宋" w:cs="仿宋"/>
          <w:sz w:val="28"/>
          <w:szCs w:val="28"/>
        </w:rPr>
        <w:t>，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sz w:val="28"/>
          <w:szCs w:val="28"/>
          <w:lang w:eastAsia="zh-CN"/>
        </w:rPr>
        <w:t>谈判</w:t>
      </w:r>
      <w:r>
        <w:rPr>
          <w:rFonts w:hint="eastAsia" w:ascii="仿宋" w:hAnsi="仿宋" w:eastAsia="仿宋" w:cs="仿宋"/>
          <w:sz w:val="28"/>
          <w:szCs w:val="28"/>
        </w:rPr>
        <w:t>会议者，响应文件不予接受，</w:t>
      </w:r>
      <w:r>
        <w:rPr>
          <w:rFonts w:hint="eastAsia" w:ascii="仿宋" w:hAnsi="仿宋" w:eastAsia="仿宋" w:cs="仿宋"/>
          <w:sz w:val="28"/>
          <w:szCs w:val="28"/>
          <w:lang w:eastAsia="zh-CN"/>
        </w:rPr>
        <w:t>谈判</w:t>
      </w:r>
      <w:r>
        <w:rPr>
          <w:rFonts w:hint="eastAsia" w:ascii="仿宋" w:hAnsi="仿宋" w:eastAsia="仿宋" w:cs="仿宋"/>
          <w:sz w:val="28"/>
          <w:szCs w:val="28"/>
        </w:rPr>
        <w:t>资格无效。</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、答疑</w:t>
      </w:r>
      <w:r>
        <w:rPr>
          <w:rFonts w:hint="eastAsia" w:ascii="仿宋" w:hAnsi="仿宋" w:eastAsia="仿宋" w:cs="仿宋"/>
          <w:sz w:val="28"/>
          <w:szCs w:val="28"/>
          <w:lang w:eastAsia="zh-CN"/>
        </w:rPr>
        <w:t>：</w:t>
      </w:r>
      <w:r>
        <w:rPr>
          <w:rFonts w:hint="eastAsia" w:ascii="仿宋" w:hAnsi="仿宋" w:eastAsia="仿宋" w:cs="仿宋"/>
          <w:sz w:val="28"/>
          <w:szCs w:val="28"/>
        </w:rPr>
        <w:t>供应商如果对本项目内容有相关疑问，可以以邮件形式提出，对采购文件进行的澄清、更正或更改，将在六安市公共资源交易电子服务系统（http://ggzy.luan.gov.cn）网站“交易信息”、“限额以下非必须招标项目”版块上及时发布，该公告内容为采购文件的组成部分，对供应商具有同样约束力效力。供应商应主动上网查询，供应商须自行承担因未及时关注相关信息而引发的相关责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相关公告在六安市公共资源交易电子服务系统（http://ggzy.luan.gov.cn）网站“交易信息”、“限额以下非必须招标项目”版块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textAlignment w:val="auto"/>
        <w:rPr>
          <w:rFonts w:hint="default" w:eastAsia="仿宋"/>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、严禁恶意低价或恶意高价竞标，对恶意低价或恶意高价竞标的，采购人有权进行调查处理，经查证属实的，其响应资格无效，同时给予限制投标资格等处理。 </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7"/>
      <w:bookmarkEnd w:id="38"/>
      <w:bookmarkEnd w:id="39"/>
      <w:bookmarkEnd w:id="40"/>
      <w:bookmarkEnd w:id="41"/>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2" w:name="_Toc12167"/>
      <w:bookmarkStart w:id="43" w:name="_Toc35393806"/>
      <w:bookmarkStart w:id="44" w:name="_Toc28359096"/>
      <w:bookmarkStart w:id="45" w:name="_Toc28359019"/>
      <w:bookmarkStart w:id="46" w:name="_Toc35393637"/>
      <w:r>
        <w:rPr>
          <w:rFonts w:hint="eastAsia" w:ascii="仿宋" w:hAnsi="仿宋" w:eastAsia="仿宋" w:cs="仿宋"/>
          <w:b w:val="0"/>
          <w:bCs/>
          <w:sz w:val="28"/>
          <w:szCs w:val="28"/>
        </w:rPr>
        <w:t>1、采购人信息</w:t>
      </w:r>
      <w:bookmarkEnd w:id="42"/>
      <w:bookmarkEnd w:id="43"/>
      <w:bookmarkEnd w:id="44"/>
      <w:bookmarkEnd w:id="45"/>
      <w:bookmarkEnd w:id="46"/>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bookmarkStart w:id="47" w:name="_Toc35393807"/>
      <w:bookmarkStart w:id="48" w:name="_Toc28359097"/>
      <w:bookmarkStart w:id="49" w:name="_Toc35393638"/>
      <w:bookmarkStart w:id="50" w:name="_Toc28359020"/>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霍山县衡山镇城关中心学校</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eastAsia="zh-CN"/>
        </w:rPr>
        <w:t>霍山县衡山镇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13966288669</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7"/>
      <w:bookmarkEnd w:id="48"/>
      <w:bookmarkEnd w:id="49"/>
      <w:bookmarkEnd w:id="50"/>
      <w:bookmarkStart w:id="51" w:name="_Toc28359098"/>
      <w:bookmarkStart w:id="52" w:name="_Toc35393639"/>
      <w:bookmarkStart w:id="53" w:name="_Toc28359021"/>
      <w:bookmarkStart w:id="54"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安徽衡宇工程咨询有限公司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霍山县中兴南路16号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0564-5029965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1"/>
      <w:bookmarkEnd w:id="52"/>
      <w:bookmarkEnd w:id="53"/>
      <w:bookmarkEnd w:id="54"/>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邵工</w:t>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 xml:space="preserve">0564-5029965 </w:t>
      </w: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hint="eastAsia" w:ascii="仿宋" w:hAnsi="仿宋" w:eastAsia="仿宋" w:cs="仿宋"/>
          <w:bCs/>
          <w:sz w:val="28"/>
          <w:szCs w:val="28"/>
        </w:rPr>
      </w:pP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16</w:t>
      </w:r>
      <w:r>
        <w:rPr>
          <w:rFonts w:hint="eastAsia" w:ascii="仿宋" w:hAnsi="仿宋" w:eastAsia="仿宋" w:cs="仿宋"/>
          <w:bCs/>
          <w:sz w:val="28"/>
          <w:szCs w:val="28"/>
        </w:rPr>
        <w:t>日</w:t>
      </w:r>
    </w:p>
    <w:p>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bookmarkStart w:id="109" w:name="_GoBack"/>
      <w:bookmarkEnd w:id="109"/>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pPr>
        <w:pStyle w:val="6"/>
        <w:spacing w:before="0" w:after="0" w:line="560" w:lineRule="exact"/>
        <w:jc w:val="center"/>
        <w:rPr>
          <w:rFonts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02"/>
        <w:gridCol w:w="193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spacing w:line="440" w:lineRule="exact"/>
              <w:jc w:val="center"/>
              <w:rPr>
                <w:rFonts w:ascii="宋体" w:hAnsi="宋体"/>
                <w:b/>
                <w:sz w:val="24"/>
                <w:szCs w:val="24"/>
              </w:rPr>
            </w:pPr>
            <w:bookmarkStart w:id="57" w:name="_Toc438107743"/>
            <w:bookmarkStart w:id="58" w:name="_Toc216158627"/>
            <w:bookmarkStart w:id="59" w:name="_Toc363199267"/>
            <w:r>
              <w:rPr>
                <w:rFonts w:hint="eastAsia" w:ascii="宋体" w:hAnsi="宋体"/>
                <w:b/>
                <w:sz w:val="24"/>
                <w:szCs w:val="24"/>
              </w:rPr>
              <w:t>序号</w:t>
            </w:r>
          </w:p>
        </w:tc>
        <w:tc>
          <w:tcPr>
            <w:tcW w:w="1931"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931" w:type="dxa"/>
            <w:vAlign w:val="center"/>
          </w:tcPr>
          <w:p>
            <w:pPr>
              <w:spacing w:line="440" w:lineRule="exact"/>
              <w:jc w:val="center"/>
              <w:rPr>
                <w:rFonts w:ascii="宋体" w:hAnsi="宋体"/>
                <w:color w:val="auto"/>
                <w:sz w:val="24"/>
                <w:szCs w:val="24"/>
              </w:rPr>
            </w:pPr>
            <w:r>
              <w:rPr>
                <w:rFonts w:hint="eastAsia" w:ascii="宋体" w:hAnsi="宋体"/>
                <w:bCs/>
                <w:color w:val="auto"/>
                <w:sz w:val="24"/>
                <w:szCs w:val="24"/>
              </w:rPr>
              <w:t>采购人</w:t>
            </w:r>
          </w:p>
        </w:tc>
        <w:tc>
          <w:tcPr>
            <w:tcW w:w="7227" w:type="dxa"/>
            <w:vAlign w:val="center"/>
          </w:tcPr>
          <w:p>
            <w:pPr>
              <w:spacing w:line="440" w:lineRule="exact"/>
              <w:rPr>
                <w:color w:val="auto"/>
                <w:sz w:val="24"/>
                <w:szCs w:val="24"/>
              </w:rPr>
            </w:pPr>
            <w:r>
              <w:rPr>
                <w:rFonts w:hint="eastAsia"/>
                <w:color w:val="auto"/>
                <w:sz w:val="24"/>
                <w:szCs w:val="24"/>
                <w:lang w:eastAsia="zh-CN"/>
              </w:rPr>
              <w:t>霍山县衡山镇城关中心学校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931"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安徽衡宇工程咨询有限公司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sz w:val="24"/>
                <w:szCs w:val="24"/>
                <w:lang w:val="en-US" w:eastAsia="zh-CN"/>
              </w:rPr>
              <w:t>霍山县中兴南路16号</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城东幼儿园改扩建工程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AHHYZX-2023014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default" w:ascii="黑体" w:hAnsi="黑体" w:eastAsia="宋体" w:cs="黑体"/>
                <w:color w:val="auto"/>
                <w:szCs w:val="24"/>
                <w:lang w:val="en-US" w:eastAsia="zh-CN"/>
              </w:rPr>
            </w:pPr>
            <w:r>
              <w:rPr>
                <w:rFonts w:hint="eastAsia" w:ascii="宋体" w:hAnsi="宋体" w:cs="宋体"/>
                <w:b w:val="0"/>
                <w:bCs w:val="0"/>
                <w:color w:val="auto"/>
                <w:sz w:val="24"/>
                <w:szCs w:val="24"/>
                <w:highlight w:val="none"/>
                <w:lang w:val="en-US" w:eastAsia="zh-CN"/>
              </w:rPr>
              <w:t>预付工程款10%，工程完工且验收合格审计决算后付至审计价的97%，余款审计定案后一年内付清。具体以签订合同为准。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color w:val="auto"/>
                <w:sz w:val="24"/>
                <w:szCs w:val="24"/>
              </w:rPr>
            </w:pPr>
            <w:r>
              <w:rPr>
                <w:rFonts w:hint="eastAsia" w:ascii="宋体" w:hAnsi="宋体" w:eastAsia="宋体" w:cs="宋体"/>
                <w:b w:val="0"/>
                <w:bCs/>
                <w:color w:val="auto"/>
                <w:kern w:val="0"/>
                <w:sz w:val="24"/>
                <w:szCs w:val="24"/>
                <w:lang w:val="en-US" w:eastAsia="zh-CN" w:bidi="ar-SA"/>
              </w:rPr>
              <w:t>45日历天(2023年8月15日前完工）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1</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成交供应商在领取成交通知书时须向采购代理机构交纳代理服务费、</w:t>
            </w:r>
            <w:r>
              <w:rPr>
                <w:rFonts w:hint="eastAsia" w:ascii="宋体" w:hAnsi="宋体" w:cs="宋体"/>
                <w:color w:val="auto"/>
                <w:szCs w:val="24"/>
                <w:highlight w:val="none"/>
                <w:lang w:eastAsia="zh-CN"/>
              </w:rPr>
              <w:t>造价咨询费、</w:t>
            </w:r>
            <w:r>
              <w:rPr>
                <w:rFonts w:hint="eastAsia" w:ascii="宋体" w:hAnsi="宋体" w:cs="宋体"/>
                <w:color w:val="auto"/>
                <w:szCs w:val="24"/>
                <w:highlight w:val="none"/>
              </w:rPr>
              <w:t>专家评审费</w:t>
            </w:r>
            <w:r>
              <w:rPr>
                <w:rFonts w:hint="eastAsia" w:ascii="宋体" w:hAnsi="宋体" w:cs="宋体"/>
                <w:color w:val="auto"/>
                <w:szCs w:val="24"/>
                <w:highlight w:val="none"/>
                <w:lang w:eastAsia="zh-CN"/>
              </w:rPr>
              <w:t>。</w:t>
            </w:r>
            <w:r>
              <w:rPr>
                <w:rFonts w:hint="eastAsia" w:ascii="宋体" w:hAnsi="宋体" w:cs="宋体"/>
                <w:color w:val="auto"/>
                <w:szCs w:val="24"/>
                <w:highlight w:val="none"/>
              </w:rPr>
              <w:t>代理服务费</w:t>
            </w:r>
            <w:r>
              <w:rPr>
                <w:rFonts w:hint="eastAsia" w:ascii="宋体" w:hAnsi="宋体" w:cs="宋体"/>
                <w:color w:val="auto"/>
                <w:szCs w:val="24"/>
                <w:highlight w:val="none"/>
                <w:lang w:eastAsia="zh-CN"/>
              </w:rPr>
              <w:t>，造价咨询费</w:t>
            </w:r>
            <w:r>
              <w:rPr>
                <w:rFonts w:hint="eastAsia" w:ascii="宋体" w:hAnsi="宋体" w:cs="宋体"/>
                <w:color w:val="auto"/>
                <w:szCs w:val="24"/>
                <w:highlight w:val="none"/>
              </w:rPr>
              <w:t>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专家评审费具体以实际支付金额为准。供应商在报价时综合考虑上述费用，不单独列项。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3、请各潜在供应商在响应截止时间前，务必登录“六安市公共资源电子交易中心（http://ggzy.luan.gov.cn）”</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仿宋"/>
                <w:szCs w:val="24"/>
                <w:lang w:val="en-US" w:eastAsia="zh-CN"/>
              </w:rPr>
            </w:pPr>
            <w:r>
              <w:rPr>
                <w:rFonts w:hint="eastAsia" w:ascii="宋体" w:hAnsi="宋体"/>
                <w:bCs/>
                <w:kern w:val="2"/>
                <w:szCs w:val="24"/>
                <w:lang w:val="en-US" w:eastAsia="zh-CN"/>
              </w:rPr>
              <w:t>详见竞争性谈判公告中</w:t>
            </w:r>
            <w:r>
              <w:rPr>
                <w:rFonts w:hint="eastAsia" w:ascii="宋体" w:hAnsi="宋体" w:eastAsia="宋体"/>
                <w:bCs/>
                <w:kern w:val="2"/>
                <w:szCs w:val="24"/>
                <w:lang w:val="en-US" w:eastAsia="zh-CN"/>
              </w:rPr>
              <w:t>的递交截止时间（开启时间）和地点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w:t>
            </w:r>
            <w:r>
              <w:rPr>
                <w:rFonts w:ascii="宋体" w:hAnsi="宋体" w:eastAsia="宋体" w:cs="宋体"/>
                <w:color w:val="auto"/>
                <w:sz w:val="24"/>
                <w:szCs w:val="24"/>
              </w:rPr>
              <w:t>供应商除配备1名项目经理外，还须配备技术负责人1名、施工员1名、安全员1名、质量员1名，响应文件中须载明上述人员，</w:t>
            </w:r>
            <w:r>
              <w:rPr>
                <w:rFonts w:hint="eastAsia" w:ascii="宋体" w:hAnsi="宋体" w:cs="宋体"/>
                <w:color w:val="auto"/>
                <w:sz w:val="24"/>
                <w:szCs w:val="24"/>
                <w:lang w:eastAsia="zh-CN"/>
              </w:rPr>
              <w:t>且</w:t>
            </w:r>
            <w:r>
              <w:rPr>
                <w:rFonts w:ascii="宋体" w:hAnsi="宋体" w:eastAsia="宋体" w:cs="宋体"/>
                <w:color w:val="auto"/>
                <w:sz w:val="24"/>
                <w:szCs w:val="24"/>
              </w:rPr>
              <w:t>需提供所属社保机构出具的包括谈判截止日所属月份（含）为基点起往前计算已经过去的连续5个月内不少于连续缴费3个月的上述人员的社保缴费清单等社保缴费证明；项目技术负责人应</w:t>
            </w:r>
            <w:r>
              <w:rPr>
                <w:rFonts w:ascii="宋体" w:hAnsi="宋体" w:eastAsia="宋体" w:cs="宋体"/>
                <w:sz w:val="24"/>
                <w:szCs w:val="24"/>
              </w:rPr>
              <w:t>具有</w:t>
            </w:r>
            <w:r>
              <w:rPr>
                <w:rFonts w:hint="eastAsia" w:ascii="宋体" w:hAnsi="宋体" w:cs="宋体"/>
                <w:b/>
                <w:bCs/>
                <w:color w:val="FF0000"/>
                <w:sz w:val="24"/>
                <w:szCs w:val="24"/>
                <w:lang w:eastAsia="zh-CN"/>
              </w:rPr>
              <w:t>市政公用</w:t>
            </w:r>
            <w:r>
              <w:rPr>
                <w:rFonts w:ascii="宋体" w:hAnsi="宋体" w:eastAsia="宋体" w:cs="宋体"/>
                <w:b/>
                <w:bCs/>
                <w:color w:val="FF0000"/>
                <w:sz w:val="24"/>
                <w:szCs w:val="24"/>
              </w:rPr>
              <w:t>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auto"/>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pPr>
        <w:pStyle w:val="6"/>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43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pPr>
        <w:pStyle w:val="2"/>
        <w:spacing w:after="0" w:line="430" w:lineRule="exact"/>
        <w:ind w:firstLine="480" w:firstLineChars="200"/>
        <w:jc w:val="center"/>
      </w:pPr>
      <w:bookmarkStart w:id="61" w:name="_Toc216158625"/>
      <w:bookmarkStart w:id="62" w:name="_Toc363199266"/>
      <w:bookmarkStart w:id="63"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hint="eastAsia" w:ascii="宋体" w:hAnsi="宋体"/>
          <w:sz w:val="24"/>
          <w:szCs w:val="24"/>
          <w:lang w:val="en-US" w:eastAsia="zh-CN"/>
        </w:rPr>
      </w:pPr>
      <w:r>
        <w:rPr>
          <w:rFonts w:hint="eastAsia" w:ascii="宋体" w:hAnsi="宋体"/>
          <w:sz w:val="24"/>
          <w:szCs w:val="24"/>
        </w:rPr>
        <w:t>8、</w:t>
      </w:r>
      <w:r>
        <w:rPr>
          <w:rFonts w:hint="eastAsia" w:ascii="宋体" w:hAnsi="宋体"/>
          <w:sz w:val="24"/>
          <w:szCs w:val="24"/>
          <w:lang w:val="en-US" w:eastAsia="zh-CN"/>
        </w:rPr>
        <w:t>工程变更事前监管承诺书</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pPr>
        <w:spacing w:line="43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pPr>
        <w:tabs>
          <w:tab w:val="left" w:pos="900"/>
        </w:tabs>
        <w:spacing w:line="43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tabs>
          <w:tab w:val="left" w:pos="900"/>
        </w:tabs>
        <w:spacing w:line="430" w:lineRule="exact"/>
        <w:ind w:firstLine="480" w:firstLineChars="200"/>
        <w:rPr>
          <w:rFonts w:hint="eastAsia" w:ascii="宋体" w:hAnsi="宋体"/>
          <w:b/>
          <w:bCs/>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若供应商未在谈判小组规定的时间内提交最后的报价，则其前一轮报价即为该供应商最后的报价（后一轮报价不得高于前一轮报价，否则，报价无效）。</w:t>
      </w:r>
    </w:p>
    <w:p>
      <w:pPr>
        <w:tabs>
          <w:tab w:val="left" w:pos="900"/>
        </w:tabs>
        <w:spacing w:line="430" w:lineRule="exact"/>
        <w:ind w:left="479" w:leftChars="22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谈判小组按以下步骤对各供应商最终报价依序进行评审：</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第一步，认定有效报价。各供应商的所有报价不得超过最高限价，且最终报价不得</w:t>
      </w:r>
    </w:p>
    <w:p>
      <w:pPr>
        <w:tabs>
          <w:tab w:val="left" w:pos="900"/>
        </w:tabs>
        <w:spacing w:line="430" w:lineRule="exact"/>
        <w:ind w:left="480" w:hanging="480" w:hanging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高上一轮报价，否则报价无效；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第二步，</w:t>
      </w:r>
      <w:r>
        <w:rPr>
          <w:rFonts w:hint="eastAsia" w:ascii="宋体" w:hAnsi="宋体" w:eastAsia="宋体" w:cs="宋体"/>
          <w:color w:val="auto"/>
          <w:kern w:val="0"/>
          <w:sz w:val="24"/>
          <w:szCs w:val="24"/>
          <w:highlight w:val="none"/>
          <w:lang w:val="en-US" w:eastAsia="zh-CN" w:bidi="ar"/>
        </w:rPr>
        <w:t xml:space="preserve">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则进行判定：供应商最终报价提交完毕后，由</w:t>
      </w:r>
      <w:r>
        <w:rPr>
          <w:rFonts w:hint="eastAsia" w:ascii="宋体" w:hAnsi="宋体" w:eastAsia="宋体" w:cs="宋体"/>
          <w:b/>
          <w:bCs/>
          <w:color w:val="auto"/>
          <w:kern w:val="0"/>
          <w:sz w:val="24"/>
          <w:szCs w:val="24"/>
          <w:highlight w:val="none"/>
          <w:lang w:val="en-US" w:eastAsia="zh-CN" w:bidi="ar"/>
        </w:rPr>
        <w:t>采购人代表</w:t>
      </w:r>
      <w:r>
        <w:rPr>
          <w:rFonts w:hint="eastAsia" w:ascii="宋体" w:hAnsi="宋体" w:eastAsia="宋体" w:cs="宋体"/>
          <w:color w:val="auto"/>
          <w:kern w:val="0"/>
          <w:sz w:val="24"/>
          <w:szCs w:val="24"/>
          <w:highlight w:val="none"/>
          <w:lang w:val="en-US" w:eastAsia="zh-CN" w:bidi="ar"/>
        </w:rPr>
        <w:t>在监督人员监督下，在开标现场采用</w:t>
      </w:r>
      <w:r>
        <w:rPr>
          <w:rFonts w:hint="eastAsia" w:ascii="宋体" w:hAnsi="宋体" w:eastAsia="宋体" w:cs="宋体"/>
          <w:b/>
          <w:bCs/>
          <w:color w:val="auto"/>
          <w:kern w:val="0"/>
          <w:sz w:val="24"/>
          <w:szCs w:val="24"/>
          <w:highlight w:val="none"/>
          <w:lang w:val="en-US" w:eastAsia="zh-CN" w:bidi="ar"/>
        </w:rPr>
        <w:t>“双随机”方法抽取系数</w:t>
      </w:r>
      <w:r>
        <w:rPr>
          <w:rFonts w:hint="eastAsia" w:ascii="宋体" w:hAnsi="宋体" w:eastAsia="宋体" w:cs="宋体"/>
          <w:color w:val="auto"/>
          <w:kern w:val="0"/>
          <w:sz w:val="24"/>
          <w:szCs w:val="24"/>
          <w:highlight w:val="none"/>
          <w:lang w:val="en-US" w:eastAsia="zh-CN" w:bidi="ar"/>
        </w:rPr>
        <w:t>（系数值共 7 个，分别为：92%，93%，94%，95%、96%、97%、98%）。凡供应商最终报价低于所有有效的供应商最终报价算术平均数与抽中系数的乘积的（计算结果保留两位小数），均按低于成本价判定，该供应商报价按无效报价处理。不再进行后续评审，不得被推荐为成交供应商。</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“双随机”抽取系数操作规程统一如下：分两个环节，（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）在监督人员监督下，代理工作人员先检查摇号机状态，确认摇号机工作状态正常后，向摇号机中随机放入</w:t>
      </w:r>
      <w:r>
        <w:rPr>
          <w:rFonts w:hint="eastAsia" w:ascii="宋体" w:hAnsi="宋体" w:eastAsia="宋体" w:cs="宋体"/>
          <w:color w:val="auto"/>
          <w:sz w:val="24"/>
          <w:szCs w:val="24"/>
          <w:highlight w:val="none"/>
          <w:lang w:val="en-US" w:eastAsia="zh-CN"/>
        </w:rPr>
        <w:t>14个号码球（号码球无需连号），由采购人代表分7次按压抽取按钮，分别摇出7个号码球，摇出的7个号码球按出球先后顺序，分别对应</w:t>
      </w:r>
      <w:r>
        <w:rPr>
          <w:rFonts w:hint="eastAsia" w:ascii="宋体" w:hAnsi="宋体" w:eastAsia="宋体" w:cs="宋体"/>
          <w:color w:val="auto"/>
          <w:sz w:val="24"/>
          <w:szCs w:val="24"/>
          <w:highlight w:val="none"/>
        </w:rPr>
        <w:t>92%，93%，94%，95%、96%、97%、98%</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7个系数：（2）代理工作人员清空摇号机后，再将上述摇出的7个号码球依次放入摇号机中，再由采购人代表从中摇出一个号码球，摇出的这个号码球对应的系数，即为本项目的抽中系数。</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特殊情况处理。若上述评审均合格的前三名供应商中，排序第一的（即：经评审合格的最终报价最低的）供应商有两家或两家以上时，则由采购人按照公开、公平、公正的原则，于开标当天在开标现场在监督人员监督下公开确定成交供应商。具体的公开确定方式由采购人决定。</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pPr>
        <w:pageBreakBefore w:val="0"/>
        <w:widowControl w:val="0"/>
        <w:kinsoku/>
        <w:wordWrap/>
        <w:overflowPunct/>
        <w:topLinePunct w:val="0"/>
        <w:autoSpaceDE/>
        <w:autoSpaceDN/>
        <w:bidi w:val="0"/>
        <w:snapToGrid/>
        <w:spacing w:line="41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（5）因重大变故，采购任务取消的。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3、重新组织谈判，采购单位将通过六安市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pPr>
        <w:spacing w:line="43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4" w:name="_Toc5573"/>
      <w:r>
        <w:rPr>
          <w:rFonts w:hint="eastAsia" w:ascii="宋体" w:hAnsi="宋体" w:eastAsia="宋体" w:cs="宋体"/>
          <w:sz w:val="28"/>
          <w:szCs w:val="28"/>
        </w:rPr>
        <w:t>二、采购合同</w:t>
      </w:r>
      <w:bookmarkEnd w:id="74"/>
    </w:p>
    <w:bookmarkEnd w:id="73"/>
    <w:p>
      <w:pPr>
        <w:pStyle w:val="29"/>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5"/>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6"/>
        <w:spacing w:before="0" w:after="0" w:line="56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eastAsia="宋体" w:cs="宋体"/>
                <w:sz w:val="24"/>
                <w:szCs w:val="24"/>
                <w:lang w:val="en-US" w:eastAsia="zh-CN"/>
              </w:rPr>
              <w:t>工程变更事前监管承诺书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eastAsia="zh-CN"/>
              </w:rPr>
              <w:t>九</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pPr>
        <w:pStyle w:val="6"/>
        <w:spacing w:before="0" w:after="0" w:line="560" w:lineRule="exact"/>
        <w:ind w:firstLine="482" w:firstLineChars="200"/>
        <w:jc w:val="center"/>
        <w:rPr>
          <w:rFonts w:ascii="宋体" w:hAnsi="宋体" w:eastAsia="宋体" w:cs="宋体"/>
          <w:sz w:val="24"/>
          <w:szCs w:val="24"/>
        </w:rPr>
      </w:pPr>
      <w:bookmarkStart w:id="80" w:name="_Toc10816"/>
      <w:bookmarkStart w:id="81" w:name="_Toc5601"/>
      <w:bookmarkStart w:id="82" w:name="_Toc6891"/>
      <w:r>
        <w:rPr>
          <w:rFonts w:hint="eastAsia" w:ascii="宋体" w:hAnsi="宋体" w:eastAsia="宋体" w:cs="宋体"/>
          <w:sz w:val="24"/>
          <w:szCs w:val="24"/>
        </w:rPr>
        <w:t>1、报价单</w:t>
      </w:r>
      <w:bookmarkEnd w:id="80"/>
      <w:bookmarkEnd w:id="8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jc w:val="center"/>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pPr>
        <w:pStyle w:val="6"/>
        <w:spacing w:before="0" w:after="0" w:line="56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pPr>
        <w:pStyle w:val="6"/>
        <w:spacing w:before="0" w:after="0" w:line="560" w:lineRule="exact"/>
        <w:jc w:val="center"/>
        <w:rPr>
          <w:rFonts w:ascii="宋体" w:hAnsi="宋体" w:eastAsia="宋体" w:cs="宋体"/>
          <w:sz w:val="24"/>
          <w:szCs w:val="24"/>
        </w:rPr>
      </w:pPr>
      <w:bookmarkStart w:id="86" w:name="_Toc3234"/>
      <w:bookmarkStart w:id="87" w:name="_Toc10696"/>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spacing w:line="360" w:lineRule="auto"/>
        <w:rPr>
          <w:rFonts w:ascii="宋体" w:hAnsi="宋体" w:cs="宋体"/>
          <w:b/>
          <w:sz w:val="24"/>
          <w:szCs w:val="24"/>
        </w:rPr>
      </w:pPr>
      <w:bookmarkStart w:id="88"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9"/>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9"/>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8"/>
    </w:p>
    <w:p>
      <w:pPr>
        <w:pStyle w:val="6"/>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2"/>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4"/>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2"/>
        <w:ind w:firstLine="210"/>
      </w:pPr>
    </w:p>
    <w:bookmarkEnd w:id="92"/>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6"/>
        <w:spacing w:before="0" w:after="0" w:line="56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8" w:hRule="atLeast"/>
        </w:trPr>
        <w:tc>
          <w:tcPr>
            <w:tcW w:w="5402" w:type="dxa"/>
            <w:gridSpan w:val="3"/>
            <w:vAlign w:val="center"/>
          </w:tcPr>
          <w:p>
            <w:pPr>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100" w:name="_Toc12917"/>
      <w:r>
        <w:rPr>
          <w:rFonts w:hint="eastAsia" w:ascii="宋体" w:hAnsi="宋体" w:eastAsia="宋体" w:cs="宋体"/>
          <w:sz w:val="24"/>
          <w:szCs w:val="24"/>
        </w:rPr>
        <w:t>附件</w:t>
      </w:r>
      <w:bookmarkEnd w:id="99"/>
      <w:r>
        <w:rPr>
          <w:rFonts w:hint="eastAsia" w:ascii="宋体" w:hAnsi="宋体" w:eastAsia="宋体" w:cs="宋体"/>
          <w:sz w:val="24"/>
          <w:szCs w:val="24"/>
        </w:rPr>
        <w:t>七</w:t>
      </w:r>
      <w:bookmarkEnd w:id="100"/>
      <w:bookmarkStart w:id="101" w:name="_Toc18625"/>
      <w:bookmarkStart w:id="102"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1"/>
      <w:bookmarkEnd w:id="102"/>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3"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XXX（采购人名称)</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Style w:val="59"/>
          <w:rFonts w:ascii="宋体" w:hAnsi="宋体" w:eastAsia="宋体" w:cs="宋体"/>
          <w:sz w:val="24"/>
          <w:szCs w:val="24"/>
        </w:rPr>
      </w:pPr>
      <w:r>
        <w:rPr>
          <w:rFonts w:hint="eastAsia" w:ascii="宋体" w:hAnsi="宋体" w:cs="宋体"/>
          <w:color w:val="auto"/>
          <w:kern w:val="0"/>
          <w:szCs w:val="21"/>
        </w:rPr>
        <w:t xml:space="preserve">日      期： </w:t>
      </w:r>
      <w:r>
        <w:rPr>
          <w:rStyle w:val="59"/>
          <w:rFonts w:hint="eastAsia" w:ascii="宋体" w:hAnsi="宋体" w:eastAsia="宋体" w:cs="宋体"/>
          <w:sz w:val="24"/>
          <w:szCs w:val="24"/>
        </w:rPr>
        <w:br w:type="page"/>
      </w:r>
    </w:p>
    <w:p>
      <w:pPr>
        <w:pStyle w:val="6"/>
        <w:spacing w:before="0" w:after="0" w:line="560" w:lineRule="exact"/>
        <w:rPr>
          <w:rFonts w:hint="eastAsia" w:ascii="宋体" w:hAnsi="宋体" w:eastAsia="宋体" w:cs="宋体"/>
          <w:sz w:val="24"/>
          <w:szCs w:val="24"/>
          <w:lang w:val="en-US" w:eastAsia="zh-CN"/>
        </w:rPr>
      </w:pPr>
      <w:bookmarkStart w:id="104" w:name="_Toc3426"/>
      <w:r>
        <w:rPr>
          <w:rFonts w:hint="eastAsia" w:ascii="宋体" w:hAnsi="宋体" w:eastAsia="宋体" w:cs="宋体"/>
          <w:sz w:val="24"/>
          <w:szCs w:val="24"/>
        </w:rPr>
        <w:t>附件八</w:t>
      </w:r>
      <w:bookmarkEnd w:id="104"/>
      <w:r>
        <w:rPr>
          <w:rFonts w:hint="eastAsia" w:ascii="宋体" w:hAnsi="宋体" w:eastAsia="宋体" w:cs="宋体"/>
          <w:sz w:val="24"/>
          <w:szCs w:val="24"/>
          <w:lang w:val="en-US" w:eastAsia="zh-CN"/>
        </w:rPr>
        <w:t xml:space="preserve">           </w:t>
      </w:r>
    </w:p>
    <w:p>
      <w:pPr>
        <w:pStyle w:val="6"/>
        <w:spacing w:before="0" w:after="0" w:line="560" w:lineRule="exact"/>
        <w:ind w:firstLine="2650" w:firstLineChars="1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工程变更事前监管承诺书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本公司郑重承诺，该项目现场已经考察，图纸、工程量清单我公司认真核对，确认无误，我公司中标后，严格按照图纸和工程量清单施工，未经审批的变更，业主不予认可，由我公司自行承担。</w:t>
      </w:r>
    </w:p>
    <w:p>
      <w:pPr>
        <w:spacing w:line="360" w:lineRule="auto"/>
        <w:ind w:firstLine="5428" w:firstLineChars="2262"/>
        <w:rPr>
          <w:rFonts w:hint="eastAsia" w:ascii="宋体" w:hAnsi="宋体"/>
          <w:bCs/>
          <w:sz w:val="24"/>
          <w:szCs w:val="24"/>
        </w:rPr>
      </w:pPr>
      <w:bookmarkStart w:id="105" w:name="_Toc19723"/>
      <w:bookmarkStart w:id="106" w:name="_Toc28850"/>
    </w:p>
    <w:p>
      <w:pPr>
        <w:spacing w:line="360" w:lineRule="auto"/>
        <w:ind w:firstLine="5428" w:firstLineChars="2262"/>
        <w:rPr>
          <w:rFonts w:hint="eastAsia" w:ascii="宋体" w:hAnsi="宋体"/>
          <w:bCs/>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p>
      <w:pPr>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cs="宋体"/>
          <w:b/>
          <w:bCs/>
          <w:sz w:val="24"/>
          <w:szCs w:val="24"/>
          <w:lang w:eastAsia="zh-CN"/>
        </w:rPr>
        <w:t>九</w:t>
      </w:r>
      <w:r>
        <w:rPr>
          <w:rFonts w:hint="eastAsia" w:ascii="宋体" w:hAnsi="宋体" w:cs="宋体"/>
          <w:sz w:val="24"/>
          <w:szCs w:val="24"/>
          <w:lang w:val="en-US" w:eastAsia="zh-CN"/>
        </w:rPr>
        <w:t xml:space="preserve">   </w:t>
      </w:r>
      <w:r>
        <w:rPr>
          <w:rFonts w:hint="eastAsia" w:ascii="宋体" w:hAnsi="宋体" w:eastAsia="宋体" w:cs="宋体"/>
          <w:b w:val="0"/>
          <w:bCs/>
          <w:sz w:val="24"/>
          <w:szCs w:val="24"/>
        </w:rPr>
        <w:t>谈判文件要求和供应商认为需要提供的其它说明和资料</w:t>
      </w:r>
      <w:bookmarkEnd w:id="103"/>
      <w:bookmarkEnd w:id="105"/>
      <w:bookmarkEnd w:id="106"/>
      <w:bookmarkStart w:id="107" w:name="_Toc5314"/>
      <w:bookmarkStart w:id="108" w:name="_Toc23763"/>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w:t>
      </w:r>
      <w:bookmarkEnd w:id="107"/>
      <w:bookmarkEnd w:id="108"/>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eastAsia="zh-CN"/>
        </w:rPr>
        <w:t>，</w:t>
      </w:r>
      <w:r>
        <w:rPr>
          <w:rFonts w:hint="eastAsia" w:ascii="宋体" w:hAnsi="宋体" w:eastAsia="宋体" w:cs="宋体"/>
          <w:b/>
          <w:color w:val="FF0000"/>
          <w:sz w:val="24"/>
          <w:szCs w:val="24"/>
          <w:highlight w:val="none"/>
          <w:lang w:val="en-US" w:eastAsia="zh-CN"/>
        </w:rPr>
        <w:t>最终报价书由供应商在成交后提供（一式三份）。</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45223D-C1B7-4160-9547-6246EA02DDE3}"/>
  </w:font>
  <w:font w:name="黑体">
    <w:panose1 w:val="02010609060101010101"/>
    <w:charset w:val="86"/>
    <w:family w:val="auto"/>
    <w:pitch w:val="default"/>
    <w:sig w:usb0="800002BF" w:usb1="38CF7CFA" w:usb2="00000016" w:usb3="00000000" w:csb0="00040001" w:csb1="00000000"/>
    <w:embedRegular r:id="rId2" w:fontKey="{2B2A03B6-63C0-4264-92A8-32A8A57160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8059ECF-5A7D-4011-A847-0785B2300043}"/>
  </w:font>
  <w:font w:name="仿宋_GB2312">
    <w:panose1 w:val="02010609030101010101"/>
    <w:charset w:val="86"/>
    <w:family w:val="auto"/>
    <w:pitch w:val="default"/>
    <w:sig w:usb0="00000001" w:usb1="080E0000" w:usb2="00000000" w:usb3="00000000" w:csb0="00040000" w:csb1="00000000"/>
    <w:embedRegular r:id="rId4" w:fontKey="{475875B3-5CE5-4AE9-A713-D8B51BA03F78}"/>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1ACEADE6-FC13-4203-A1CB-611CDFE00788}"/>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53878152-3C2F-496E-9DCF-3AC4C2DFB36D}"/>
  </w:font>
  <w:font w:name="华文中宋">
    <w:panose1 w:val="02010600040101010101"/>
    <w:charset w:val="86"/>
    <w:family w:val="auto"/>
    <w:pitch w:val="default"/>
    <w:sig w:usb0="00000287" w:usb1="080F0000" w:usb2="00000000" w:usb3="00000000" w:csb0="0004009F" w:csb1="DFD70000"/>
    <w:embedRegular r:id="rId7" w:fontKey="{268122F0-CBD3-4DB1-B4A1-F88F53576B12}"/>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jAxMzY3YmIwNmVmN2M5ZWUxZjUzMzY5OGE4MjE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6B700F"/>
    <w:rsid w:val="02734D70"/>
    <w:rsid w:val="03052939"/>
    <w:rsid w:val="03062E20"/>
    <w:rsid w:val="0311396F"/>
    <w:rsid w:val="03B22505"/>
    <w:rsid w:val="03D23972"/>
    <w:rsid w:val="03FE01E1"/>
    <w:rsid w:val="04067181"/>
    <w:rsid w:val="046E3E44"/>
    <w:rsid w:val="047F6792"/>
    <w:rsid w:val="04A722F0"/>
    <w:rsid w:val="04EE7346"/>
    <w:rsid w:val="05045387"/>
    <w:rsid w:val="05104E6D"/>
    <w:rsid w:val="053346E9"/>
    <w:rsid w:val="05764F65"/>
    <w:rsid w:val="058B4100"/>
    <w:rsid w:val="05CD4D4D"/>
    <w:rsid w:val="05ED76CD"/>
    <w:rsid w:val="05FC4926"/>
    <w:rsid w:val="06262FF6"/>
    <w:rsid w:val="062766E1"/>
    <w:rsid w:val="065F13E0"/>
    <w:rsid w:val="068A111A"/>
    <w:rsid w:val="07267565"/>
    <w:rsid w:val="074A602C"/>
    <w:rsid w:val="078C18B4"/>
    <w:rsid w:val="07A20F5E"/>
    <w:rsid w:val="07D24620"/>
    <w:rsid w:val="07F51E0B"/>
    <w:rsid w:val="0834567D"/>
    <w:rsid w:val="085E5B1B"/>
    <w:rsid w:val="08A72892"/>
    <w:rsid w:val="08B903E4"/>
    <w:rsid w:val="08B975E0"/>
    <w:rsid w:val="08F55D20"/>
    <w:rsid w:val="090526E4"/>
    <w:rsid w:val="092A14FC"/>
    <w:rsid w:val="094A1A48"/>
    <w:rsid w:val="095F7F4C"/>
    <w:rsid w:val="09A60123"/>
    <w:rsid w:val="09AE75F4"/>
    <w:rsid w:val="09B95F2A"/>
    <w:rsid w:val="0A07615D"/>
    <w:rsid w:val="0A0C7574"/>
    <w:rsid w:val="0A424E4D"/>
    <w:rsid w:val="0AB47D8E"/>
    <w:rsid w:val="0AF82AC1"/>
    <w:rsid w:val="0B66533A"/>
    <w:rsid w:val="0B84414D"/>
    <w:rsid w:val="0BAC0749"/>
    <w:rsid w:val="0BC7245A"/>
    <w:rsid w:val="0BD46BAD"/>
    <w:rsid w:val="0BE120B2"/>
    <w:rsid w:val="0C4C5524"/>
    <w:rsid w:val="0C7B29E0"/>
    <w:rsid w:val="0CAA47CE"/>
    <w:rsid w:val="0CEC43CA"/>
    <w:rsid w:val="0D50431A"/>
    <w:rsid w:val="0D6921B0"/>
    <w:rsid w:val="0DD74F5A"/>
    <w:rsid w:val="0DF624E0"/>
    <w:rsid w:val="0E21417E"/>
    <w:rsid w:val="0E346850"/>
    <w:rsid w:val="0E404088"/>
    <w:rsid w:val="0E707BF7"/>
    <w:rsid w:val="0E9658AF"/>
    <w:rsid w:val="0EA113FA"/>
    <w:rsid w:val="0ECA11CC"/>
    <w:rsid w:val="0EE028AD"/>
    <w:rsid w:val="0EE859DF"/>
    <w:rsid w:val="0F0019B5"/>
    <w:rsid w:val="0F390E8E"/>
    <w:rsid w:val="0F5762B4"/>
    <w:rsid w:val="0F8F57EF"/>
    <w:rsid w:val="0FF97625"/>
    <w:rsid w:val="0FFA6300"/>
    <w:rsid w:val="10044E18"/>
    <w:rsid w:val="1018304A"/>
    <w:rsid w:val="105C48D7"/>
    <w:rsid w:val="10722611"/>
    <w:rsid w:val="10B24208"/>
    <w:rsid w:val="110475FD"/>
    <w:rsid w:val="11164660"/>
    <w:rsid w:val="11200448"/>
    <w:rsid w:val="119066D9"/>
    <w:rsid w:val="11A335B5"/>
    <w:rsid w:val="11AE35E8"/>
    <w:rsid w:val="11DD1222"/>
    <w:rsid w:val="1219428E"/>
    <w:rsid w:val="126C7E10"/>
    <w:rsid w:val="12C42FA9"/>
    <w:rsid w:val="1303465D"/>
    <w:rsid w:val="13490C7D"/>
    <w:rsid w:val="135C3D02"/>
    <w:rsid w:val="138C7166"/>
    <w:rsid w:val="13C5790E"/>
    <w:rsid w:val="14A423A8"/>
    <w:rsid w:val="14C8253B"/>
    <w:rsid w:val="14D507B4"/>
    <w:rsid w:val="14E27C21"/>
    <w:rsid w:val="151770AE"/>
    <w:rsid w:val="151D632D"/>
    <w:rsid w:val="153B2049"/>
    <w:rsid w:val="15614DA8"/>
    <w:rsid w:val="15AD79BC"/>
    <w:rsid w:val="16066864"/>
    <w:rsid w:val="163D0A87"/>
    <w:rsid w:val="16991EF7"/>
    <w:rsid w:val="170F0CFF"/>
    <w:rsid w:val="173850A7"/>
    <w:rsid w:val="174C0AC9"/>
    <w:rsid w:val="177B4CDC"/>
    <w:rsid w:val="17BA7FA6"/>
    <w:rsid w:val="17BE7047"/>
    <w:rsid w:val="183F646C"/>
    <w:rsid w:val="185A7C09"/>
    <w:rsid w:val="18C878F2"/>
    <w:rsid w:val="18FB18A3"/>
    <w:rsid w:val="19261639"/>
    <w:rsid w:val="192B2CC7"/>
    <w:rsid w:val="197D3E49"/>
    <w:rsid w:val="198B1495"/>
    <w:rsid w:val="1A0725B2"/>
    <w:rsid w:val="1A630ED2"/>
    <w:rsid w:val="1A6C248D"/>
    <w:rsid w:val="1A8A3A24"/>
    <w:rsid w:val="1AD23FC4"/>
    <w:rsid w:val="1AE747FC"/>
    <w:rsid w:val="1AF45622"/>
    <w:rsid w:val="1B5A7D5C"/>
    <w:rsid w:val="1B7B26E1"/>
    <w:rsid w:val="1B8A33D7"/>
    <w:rsid w:val="1B98664F"/>
    <w:rsid w:val="1BC86B43"/>
    <w:rsid w:val="1C010930"/>
    <w:rsid w:val="1C1A0C17"/>
    <w:rsid w:val="1C32741A"/>
    <w:rsid w:val="1C405AE5"/>
    <w:rsid w:val="1C577EAD"/>
    <w:rsid w:val="1CA344DF"/>
    <w:rsid w:val="1D0C75F3"/>
    <w:rsid w:val="1D3441F3"/>
    <w:rsid w:val="1D5A219E"/>
    <w:rsid w:val="1D75123E"/>
    <w:rsid w:val="1D905BC0"/>
    <w:rsid w:val="1D960483"/>
    <w:rsid w:val="1DC817B3"/>
    <w:rsid w:val="1DE5157B"/>
    <w:rsid w:val="1DF15284"/>
    <w:rsid w:val="1E071163"/>
    <w:rsid w:val="1E0A2DCB"/>
    <w:rsid w:val="1E5F77E6"/>
    <w:rsid w:val="1EA25BAA"/>
    <w:rsid w:val="1EA94EC3"/>
    <w:rsid w:val="1F171CFB"/>
    <w:rsid w:val="1F2F4AEA"/>
    <w:rsid w:val="1F3C13B6"/>
    <w:rsid w:val="1F4B49D6"/>
    <w:rsid w:val="1F803199"/>
    <w:rsid w:val="1FCB070D"/>
    <w:rsid w:val="1FF85069"/>
    <w:rsid w:val="201E0087"/>
    <w:rsid w:val="207B2B57"/>
    <w:rsid w:val="20E916A5"/>
    <w:rsid w:val="20F41885"/>
    <w:rsid w:val="210E7527"/>
    <w:rsid w:val="2163607F"/>
    <w:rsid w:val="21993B18"/>
    <w:rsid w:val="21AB121A"/>
    <w:rsid w:val="22026C30"/>
    <w:rsid w:val="22464B8D"/>
    <w:rsid w:val="229A201B"/>
    <w:rsid w:val="22B67E76"/>
    <w:rsid w:val="23131962"/>
    <w:rsid w:val="23670458"/>
    <w:rsid w:val="236B2A0F"/>
    <w:rsid w:val="239974D6"/>
    <w:rsid w:val="23E266D0"/>
    <w:rsid w:val="23E4618A"/>
    <w:rsid w:val="244E3D8C"/>
    <w:rsid w:val="24724271"/>
    <w:rsid w:val="24B335CE"/>
    <w:rsid w:val="24C820E3"/>
    <w:rsid w:val="24D91964"/>
    <w:rsid w:val="24F009A8"/>
    <w:rsid w:val="25EF0E4B"/>
    <w:rsid w:val="25F16041"/>
    <w:rsid w:val="269C26E3"/>
    <w:rsid w:val="26E811E9"/>
    <w:rsid w:val="26EF398D"/>
    <w:rsid w:val="26F97002"/>
    <w:rsid w:val="270D6E87"/>
    <w:rsid w:val="272E2D63"/>
    <w:rsid w:val="27410CB9"/>
    <w:rsid w:val="276D441A"/>
    <w:rsid w:val="27F12FBB"/>
    <w:rsid w:val="28607D91"/>
    <w:rsid w:val="2861396F"/>
    <w:rsid w:val="28AF6A0B"/>
    <w:rsid w:val="28B44010"/>
    <w:rsid w:val="29044E0B"/>
    <w:rsid w:val="29384EA8"/>
    <w:rsid w:val="29496228"/>
    <w:rsid w:val="295039A3"/>
    <w:rsid w:val="29E26463"/>
    <w:rsid w:val="2A07065D"/>
    <w:rsid w:val="2A0A08C3"/>
    <w:rsid w:val="2A534564"/>
    <w:rsid w:val="2A573A70"/>
    <w:rsid w:val="2B404B09"/>
    <w:rsid w:val="2BB853FD"/>
    <w:rsid w:val="2BCF1FA9"/>
    <w:rsid w:val="2BFA65A3"/>
    <w:rsid w:val="2C101F53"/>
    <w:rsid w:val="2C2053A7"/>
    <w:rsid w:val="2C4E7F91"/>
    <w:rsid w:val="2C8F0922"/>
    <w:rsid w:val="2CBD48CE"/>
    <w:rsid w:val="2CE211B2"/>
    <w:rsid w:val="2D657944"/>
    <w:rsid w:val="2D91132A"/>
    <w:rsid w:val="2DB46201"/>
    <w:rsid w:val="2E015B36"/>
    <w:rsid w:val="2E165C6D"/>
    <w:rsid w:val="2E275F81"/>
    <w:rsid w:val="2E28730F"/>
    <w:rsid w:val="2E4E51C2"/>
    <w:rsid w:val="2E520EAC"/>
    <w:rsid w:val="2E77681E"/>
    <w:rsid w:val="2EED10C4"/>
    <w:rsid w:val="2F4B2B19"/>
    <w:rsid w:val="2F6246CC"/>
    <w:rsid w:val="2F9F2EBA"/>
    <w:rsid w:val="2F9F5447"/>
    <w:rsid w:val="2FC53683"/>
    <w:rsid w:val="2FE97A5F"/>
    <w:rsid w:val="2FFE4B1D"/>
    <w:rsid w:val="300B44EE"/>
    <w:rsid w:val="300C557A"/>
    <w:rsid w:val="305A47DE"/>
    <w:rsid w:val="305F4F6B"/>
    <w:rsid w:val="30626A70"/>
    <w:rsid w:val="30671D75"/>
    <w:rsid w:val="30683C8B"/>
    <w:rsid w:val="309E348C"/>
    <w:rsid w:val="30CB35CF"/>
    <w:rsid w:val="31394322"/>
    <w:rsid w:val="315076E8"/>
    <w:rsid w:val="31532C6E"/>
    <w:rsid w:val="315D128C"/>
    <w:rsid w:val="3184082E"/>
    <w:rsid w:val="32214672"/>
    <w:rsid w:val="32380BAE"/>
    <w:rsid w:val="32583B43"/>
    <w:rsid w:val="32617B06"/>
    <w:rsid w:val="328304A8"/>
    <w:rsid w:val="32BC5F4D"/>
    <w:rsid w:val="33154A22"/>
    <w:rsid w:val="331A1D5C"/>
    <w:rsid w:val="33486E6D"/>
    <w:rsid w:val="33AD6F69"/>
    <w:rsid w:val="33E651C3"/>
    <w:rsid w:val="33FE364D"/>
    <w:rsid w:val="340D7B12"/>
    <w:rsid w:val="3429115A"/>
    <w:rsid w:val="348533F3"/>
    <w:rsid w:val="34DA5C46"/>
    <w:rsid w:val="34F2580B"/>
    <w:rsid w:val="354A5F40"/>
    <w:rsid w:val="35803C3D"/>
    <w:rsid w:val="35A149B6"/>
    <w:rsid w:val="35D20425"/>
    <w:rsid w:val="35F42A51"/>
    <w:rsid w:val="35FFEC5E"/>
    <w:rsid w:val="36024564"/>
    <w:rsid w:val="361F260A"/>
    <w:rsid w:val="36276335"/>
    <w:rsid w:val="362F3BFA"/>
    <w:rsid w:val="36981B5D"/>
    <w:rsid w:val="36A9634B"/>
    <w:rsid w:val="36D079C8"/>
    <w:rsid w:val="36EB7CE0"/>
    <w:rsid w:val="36FD3E6E"/>
    <w:rsid w:val="377D1279"/>
    <w:rsid w:val="37D716E7"/>
    <w:rsid w:val="37ED2CCA"/>
    <w:rsid w:val="3850775C"/>
    <w:rsid w:val="38631B53"/>
    <w:rsid w:val="38633057"/>
    <w:rsid w:val="386D5472"/>
    <w:rsid w:val="390327BB"/>
    <w:rsid w:val="3918358F"/>
    <w:rsid w:val="394E33E8"/>
    <w:rsid w:val="396C6CF4"/>
    <w:rsid w:val="397A10A0"/>
    <w:rsid w:val="398E6F62"/>
    <w:rsid w:val="39A36C79"/>
    <w:rsid w:val="3A290002"/>
    <w:rsid w:val="3A2E128F"/>
    <w:rsid w:val="3A7C5B6F"/>
    <w:rsid w:val="3A8F3EBA"/>
    <w:rsid w:val="3A920D71"/>
    <w:rsid w:val="3AB10259"/>
    <w:rsid w:val="3ABA6222"/>
    <w:rsid w:val="3AD674BD"/>
    <w:rsid w:val="3B1B510F"/>
    <w:rsid w:val="3B301F44"/>
    <w:rsid w:val="3B3716DA"/>
    <w:rsid w:val="3B9373E6"/>
    <w:rsid w:val="3BAE4829"/>
    <w:rsid w:val="3BDF73C5"/>
    <w:rsid w:val="3BF27D19"/>
    <w:rsid w:val="3C047A4D"/>
    <w:rsid w:val="3C05453A"/>
    <w:rsid w:val="3C34130B"/>
    <w:rsid w:val="3C4C39CC"/>
    <w:rsid w:val="3D743CDB"/>
    <w:rsid w:val="3D902D22"/>
    <w:rsid w:val="3DEE75C9"/>
    <w:rsid w:val="3DF4021A"/>
    <w:rsid w:val="3E047963"/>
    <w:rsid w:val="3E8E5BBA"/>
    <w:rsid w:val="3EDC10FF"/>
    <w:rsid w:val="3F0A5E23"/>
    <w:rsid w:val="3F3F2FD1"/>
    <w:rsid w:val="3F520FBF"/>
    <w:rsid w:val="3F9803DD"/>
    <w:rsid w:val="3FE57CA4"/>
    <w:rsid w:val="402E1B38"/>
    <w:rsid w:val="405A4873"/>
    <w:rsid w:val="406022E2"/>
    <w:rsid w:val="407B3EBF"/>
    <w:rsid w:val="40DF693D"/>
    <w:rsid w:val="40F16A8E"/>
    <w:rsid w:val="411C5418"/>
    <w:rsid w:val="412545BE"/>
    <w:rsid w:val="4184340D"/>
    <w:rsid w:val="41E21275"/>
    <w:rsid w:val="42F6152E"/>
    <w:rsid w:val="42FF6CFF"/>
    <w:rsid w:val="43075E6E"/>
    <w:rsid w:val="43771108"/>
    <w:rsid w:val="438C4E1A"/>
    <w:rsid w:val="44174028"/>
    <w:rsid w:val="445D2907"/>
    <w:rsid w:val="446523D2"/>
    <w:rsid w:val="44765180"/>
    <w:rsid w:val="44BB500C"/>
    <w:rsid w:val="44DA0696"/>
    <w:rsid w:val="44E45943"/>
    <w:rsid w:val="456F5F37"/>
    <w:rsid w:val="4583380E"/>
    <w:rsid w:val="45993146"/>
    <w:rsid w:val="459E79F0"/>
    <w:rsid w:val="45EB3538"/>
    <w:rsid w:val="46136B43"/>
    <w:rsid w:val="46440499"/>
    <w:rsid w:val="46771AC0"/>
    <w:rsid w:val="47347438"/>
    <w:rsid w:val="476D46F8"/>
    <w:rsid w:val="47777325"/>
    <w:rsid w:val="47867C8A"/>
    <w:rsid w:val="479B001B"/>
    <w:rsid w:val="47D21CE6"/>
    <w:rsid w:val="47F52C67"/>
    <w:rsid w:val="47F6293F"/>
    <w:rsid w:val="48114597"/>
    <w:rsid w:val="486274F2"/>
    <w:rsid w:val="48876507"/>
    <w:rsid w:val="48A14890"/>
    <w:rsid w:val="48BA11FA"/>
    <w:rsid w:val="48BD0CBA"/>
    <w:rsid w:val="4A463AC2"/>
    <w:rsid w:val="4A4C0CEF"/>
    <w:rsid w:val="4A67403B"/>
    <w:rsid w:val="4A734E79"/>
    <w:rsid w:val="4AD27698"/>
    <w:rsid w:val="4B1B114F"/>
    <w:rsid w:val="4B250368"/>
    <w:rsid w:val="4B657589"/>
    <w:rsid w:val="4B732147"/>
    <w:rsid w:val="4B7F6C9B"/>
    <w:rsid w:val="4B857DCA"/>
    <w:rsid w:val="4BB01238"/>
    <w:rsid w:val="4C2F1AF1"/>
    <w:rsid w:val="4C3F1A69"/>
    <w:rsid w:val="4C4C7D4D"/>
    <w:rsid w:val="4C692E82"/>
    <w:rsid w:val="4C9B795E"/>
    <w:rsid w:val="4CA216B0"/>
    <w:rsid w:val="4CA7336B"/>
    <w:rsid w:val="4CDA2830"/>
    <w:rsid w:val="4D001539"/>
    <w:rsid w:val="4D002082"/>
    <w:rsid w:val="4D060FF1"/>
    <w:rsid w:val="4D714797"/>
    <w:rsid w:val="4D8E361A"/>
    <w:rsid w:val="4D9E7AA8"/>
    <w:rsid w:val="4D9F0EEA"/>
    <w:rsid w:val="4DA60964"/>
    <w:rsid w:val="4E241889"/>
    <w:rsid w:val="4E3C703C"/>
    <w:rsid w:val="4EDE2A1F"/>
    <w:rsid w:val="4F095D32"/>
    <w:rsid w:val="4F1A4882"/>
    <w:rsid w:val="4F2C4E99"/>
    <w:rsid w:val="4F3C4DEC"/>
    <w:rsid w:val="4F7C5051"/>
    <w:rsid w:val="4FCE6B88"/>
    <w:rsid w:val="4FDB2778"/>
    <w:rsid w:val="5028041A"/>
    <w:rsid w:val="504900D3"/>
    <w:rsid w:val="50653B4A"/>
    <w:rsid w:val="507B1FA1"/>
    <w:rsid w:val="50EA2B95"/>
    <w:rsid w:val="513A6C66"/>
    <w:rsid w:val="516620A8"/>
    <w:rsid w:val="5175589A"/>
    <w:rsid w:val="51D67139"/>
    <w:rsid w:val="521F0CE5"/>
    <w:rsid w:val="525A1D1D"/>
    <w:rsid w:val="52892F5B"/>
    <w:rsid w:val="529E1C09"/>
    <w:rsid w:val="52BB0165"/>
    <w:rsid w:val="52BD163A"/>
    <w:rsid w:val="52C04276"/>
    <w:rsid w:val="52E02222"/>
    <w:rsid w:val="52EF6909"/>
    <w:rsid w:val="52F61709"/>
    <w:rsid w:val="54073585"/>
    <w:rsid w:val="543453A5"/>
    <w:rsid w:val="54420CBA"/>
    <w:rsid w:val="54843BCA"/>
    <w:rsid w:val="54D275F5"/>
    <w:rsid w:val="54DB7C79"/>
    <w:rsid w:val="54E74E26"/>
    <w:rsid w:val="55214D74"/>
    <w:rsid w:val="55580A4D"/>
    <w:rsid w:val="556709D9"/>
    <w:rsid w:val="558B7070"/>
    <w:rsid w:val="55B45B96"/>
    <w:rsid w:val="55DC1770"/>
    <w:rsid w:val="55EB22AC"/>
    <w:rsid w:val="56021A16"/>
    <w:rsid w:val="561133F2"/>
    <w:rsid w:val="56401CD5"/>
    <w:rsid w:val="56571FFA"/>
    <w:rsid w:val="56757125"/>
    <w:rsid w:val="56A92CC7"/>
    <w:rsid w:val="56A97649"/>
    <w:rsid w:val="56D204E6"/>
    <w:rsid w:val="5772766D"/>
    <w:rsid w:val="577D0987"/>
    <w:rsid w:val="58124259"/>
    <w:rsid w:val="581D5AED"/>
    <w:rsid w:val="58315521"/>
    <w:rsid w:val="586D09FC"/>
    <w:rsid w:val="58BD10F2"/>
    <w:rsid w:val="58C148A4"/>
    <w:rsid w:val="58CD33C2"/>
    <w:rsid w:val="596469D4"/>
    <w:rsid w:val="59795EEC"/>
    <w:rsid w:val="59BD375F"/>
    <w:rsid w:val="59C812C8"/>
    <w:rsid w:val="5A3E3CD2"/>
    <w:rsid w:val="5A435D8A"/>
    <w:rsid w:val="5B1B1E06"/>
    <w:rsid w:val="5B250CF4"/>
    <w:rsid w:val="5BBC1D09"/>
    <w:rsid w:val="5C34380B"/>
    <w:rsid w:val="5C441E45"/>
    <w:rsid w:val="5CBA4C19"/>
    <w:rsid w:val="5D194289"/>
    <w:rsid w:val="5D8C2B4C"/>
    <w:rsid w:val="5DC32E71"/>
    <w:rsid w:val="5E402B64"/>
    <w:rsid w:val="5E473A9D"/>
    <w:rsid w:val="5E94654C"/>
    <w:rsid w:val="5F001951"/>
    <w:rsid w:val="5F724B4A"/>
    <w:rsid w:val="5F912AC4"/>
    <w:rsid w:val="5FA35FE5"/>
    <w:rsid w:val="5FD14724"/>
    <w:rsid w:val="600C4824"/>
    <w:rsid w:val="60136E57"/>
    <w:rsid w:val="60153D3C"/>
    <w:rsid w:val="60700F30"/>
    <w:rsid w:val="607B7DDA"/>
    <w:rsid w:val="60E87B88"/>
    <w:rsid w:val="60F36AC5"/>
    <w:rsid w:val="610B23D7"/>
    <w:rsid w:val="618B1EF3"/>
    <w:rsid w:val="61A76748"/>
    <w:rsid w:val="61D91A2E"/>
    <w:rsid w:val="624D71A8"/>
    <w:rsid w:val="628C7CD0"/>
    <w:rsid w:val="62900431"/>
    <w:rsid w:val="62B731FE"/>
    <w:rsid w:val="62C52E85"/>
    <w:rsid w:val="62EC4C13"/>
    <w:rsid w:val="62F05149"/>
    <w:rsid w:val="63023C80"/>
    <w:rsid w:val="63260125"/>
    <w:rsid w:val="63685D38"/>
    <w:rsid w:val="636D3AA1"/>
    <w:rsid w:val="64610CE9"/>
    <w:rsid w:val="64F22548"/>
    <w:rsid w:val="65033676"/>
    <w:rsid w:val="65442BCD"/>
    <w:rsid w:val="65610558"/>
    <w:rsid w:val="659106E2"/>
    <w:rsid w:val="65982E30"/>
    <w:rsid w:val="65AB236D"/>
    <w:rsid w:val="65B8080F"/>
    <w:rsid w:val="66032238"/>
    <w:rsid w:val="662276B1"/>
    <w:rsid w:val="66483EC5"/>
    <w:rsid w:val="665A4EEE"/>
    <w:rsid w:val="66704DB4"/>
    <w:rsid w:val="668E6BFB"/>
    <w:rsid w:val="66A04F95"/>
    <w:rsid w:val="66B26720"/>
    <w:rsid w:val="67102453"/>
    <w:rsid w:val="67206C39"/>
    <w:rsid w:val="6734799D"/>
    <w:rsid w:val="67E11479"/>
    <w:rsid w:val="680622D3"/>
    <w:rsid w:val="686C2F70"/>
    <w:rsid w:val="68A67F29"/>
    <w:rsid w:val="68C15CCA"/>
    <w:rsid w:val="68F62689"/>
    <w:rsid w:val="69350DCE"/>
    <w:rsid w:val="695860FA"/>
    <w:rsid w:val="69652C31"/>
    <w:rsid w:val="697D619C"/>
    <w:rsid w:val="697E5CFD"/>
    <w:rsid w:val="69EE3D79"/>
    <w:rsid w:val="6A0E091D"/>
    <w:rsid w:val="6A386990"/>
    <w:rsid w:val="6A5B5D6C"/>
    <w:rsid w:val="6ABA50AD"/>
    <w:rsid w:val="6ABC175A"/>
    <w:rsid w:val="6B006918"/>
    <w:rsid w:val="6B346916"/>
    <w:rsid w:val="6B58725B"/>
    <w:rsid w:val="6B9666DC"/>
    <w:rsid w:val="6BA94127"/>
    <w:rsid w:val="6BFE46EA"/>
    <w:rsid w:val="6C7F53F2"/>
    <w:rsid w:val="6C8B20CC"/>
    <w:rsid w:val="6CEE487B"/>
    <w:rsid w:val="6D616AB2"/>
    <w:rsid w:val="6DD54955"/>
    <w:rsid w:val="6E3B2802"/>
    <w:rsid w:val="6E993829"/>
    <w:rsid w:val="6EB71B5D"/>
    <w:rsid w:val="6EBE56B6"/>
    <w:rsid w:val="6F447A17"/>
    <w:rsid w:val="6F773253"/>
    <w:rsid w:val="6FD11419"/>
    <w:rsid w:val="6FF0358B"/>
    <w:rsid w:val="704217E5"/>
    <w:rsid w:val="70691651"/>
    <w:rsid w:val="7076354C"/>
    <w:rsid w:val="707E56F3"/>
    <w:rsid w:val="70F6444B"/>
    <w:rsid w:val="71152000"/>
    <w:rsid w:val="717758C8"/>
    <w:rsid w:val="71951D13"/>
    <w:rsid w:val="721756F7"/>
    <w:rsid w:val="7231680E"/>
    <w:rsid w:val="72BD5AD1"/>
    <w:rsid w:val="72C87BB3"/>
    <w:rsid w:val="73584FE4"/>
    <w:rsid w:val="735F6117"/>
    <w:rsid w:val="73A40AD9"/>
    <w:rsid w:val="73BC3875"/>
    <w:rsid w:val="73FC40C7"/>
    <w:rsid w:val="743462E1"/>
    <w:rsid w:val="745D4D21"/>
    <w:rsid w:val="750D2EF3"/>
    <w:rsid w:val="752F342A"/>
    <w:rsid w:val="75C509F0"/>
    <w:rsid w:val="76674D66"/>
    <w:rsid w:val="76CB6D18"/>
    <w:rsid w:val="76ED37EF"/>
    <w:rsid w:val="770F21D1"/>
    <w:rsid w:val="77BF7315"/>
    <w:rsid w:val="78532959"/>
    <w:rsid w:val="78A7019A"/>
    <w:rsid w:val="78DF6F7C"/>
    <w:rsid w:val="78FB12B4"/>
    <w:rsid w:val="790A6E9A"/>
    <w:rsid w:val="791870B6"/>
    <w:rsid w:val="79360B92"/>
    <w:rsid w:val="794A4D1D"/>
    <w:rsid w:val="796D5B63"/>
    <w:rsid w:val="798D055E"/>
    <w:rsid w:val="79A17AC3"/>
    <w:rsid w:val="79B2097F"/>
    <w:rsid w:val="79BA3B0E"/>
    <w:rsid w:val="7A067586"/>
    <w:rsid w:val="7A287679"/>
    <w:rsid w:val="7A67670A"/>
    <w:rsid w:val="7ABB6962"/>
    <w:rsid w:val="7AF4539C"/>
    <w:rsid w:val="7BBFE36C"/>
    <w:rsid w:val="7C013D85"/>
    <w:rsid w:val="7C662C4B"/>
    <w:rsid w:val="7C6700E2"/>
    <w:rsid w:val="7C8E4220"/>
    <w:rsid w:val="7CB32C8C"/>
    <w:rsid w:val="7CF90201"/>
    <w:rsid w:val="7D241628"/>
    <w:rsid w:val="7D3134F6"/>
    <w:rsid w:val="7D733ECF"/>
    <w:rsid w:val="7DB40A20"/>
    <w:rsid w:val="7DC2451F"/>
    <w:rsid w:val="7DE7143A"/>
    <w:rsid w:val="7DFE49AF"/>
    <w:rsid w:val="7E136A50"/>
    <w:rsid w:val="7E49765A"/>
    <w:rsid w:val="7E4C0FEB"/>
    <w:rsid w:val="7E6B25BB"/>
    <w:rsid w:val="7EA857C5"/>
    <w:rsid w:val="7EBE0C5A"/>
    <w:rsid w:val="7EFB3C47"/>
    <w:rsid w:val="7F413799"/>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8"/>
    <w:qFormat/>
    <w:uiPriority w:val="0"/>
    <w:pPr>
      <w:keepNext/>
      <w:outlineLvl w:val="0"/>
    </w:pPr>
    <w:rPr>
      <w:sz w:val="28"/>
      <w:szCs w:val="24"/>
    </w:rPr>
  </w:style>
  <w:style w:type="paragraph" w:styleId="6">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400" w:lineRule="atLeast"/>
      <w:ind w:firstLine="426"/>
    </w:pPr>
    <w:rPr>
      <w:sz w:val="24"/>
      <w:szCs w:val="20"/>
    </w:rPr>
  </w:style>
  <w:style w:type="paragraph" w:styleId="3">
    <w:name w:val="Body Text"/>
    <w:basedOn w:val="1"/>
    <w:next w:val="1"/>
    <w:link w:val="74"/>
    <w:qFormat/>
    <w:uiPriority w:val="0"/>
    <w:pPr>
      <w:spacing w:after="120"/>
    </w:pPr>
    <w:rPr>
      <w:szCs w:val="24"/>
    </w:rPr>
  </w:style>
  <w:style w:type="paragraph" w:styleId="4">
    <w:name w:val="toc 6"/>
    <w:basedOn w:val="1"/>
    <w:next w:val="1"/>
    <w:qFormat/>
    <w:uiPriority w:val="0"/>
    <w:pPr>
      <w:ind w:left="2100" w:leftChars="1000"/>
    </w:pPr>
  </w:style>
  <w:style w:type="paragraph" w:styleId="9">
    <w:name w:val="toc 7"/>
    <w:basedOn w:val="1"/>
    <w:next w:val="1"/>
    <w:qFormat/>
    <w:uiPriority w:val="0"/>
    <w:pPr>
      <w:ind w:left="2520" w:leftChars="1200"/>
    </w:pPr>
  </w:style>
  <w:style w:type="paragraph" w:styleId="10">
    <w:name w:val="Document Map"/>
    <w:basedOn w:val="1"/>
    <w:link w:val="85"/>
    <w:qFormat/>
    <w:uiPriority w:val="0"/>
    <w:pPr>
      <w:shd w:val="clear" w:color="auto" w:fill="000080"/>
    </w:pPr>
  </w:style>
  <w:style w:type="paragraph" w:styleId="11">
    <w:name w:val="annotation text"/>
    <w:basedOn w:val="1"/>
    <w:link w:val="79"/>
    <w:semiHidden/>
    <w:qFormat/>
    <w:uiPriority w:val="99"/>
    <w:pPr>
      <w:jc w:val="left"/>
    </w:pPr>
  </w:style>
  <w:style w:type="paragraph" w:styleId="12">
    <w:name w:val="Body Text 3"/>
    <w:basedOn w:val="1"/>
    <w:link w:val="99"/>
    <w:unhideWhenUsed/>
    <w:qFormat/>
    <w:uiPriority w:val="99"/>
    <w:pPr>
      <w:spacing w:after="120"/>
    </w:pPr>
    <w:rPr>
      <w:rFonts w:ascii="Calibri" w:hAnsi="Calibri"/>
      <w:sz w:val="16"/>
      <w:szCs w:val="16"/>
      <w:lang w:val="zh-CN"/>
    </w:rPr>
  </w:style>
  <w:style w:type="paragraph" w:styleId="13">
    <w:name w:val="Body Text Indent"/>
    <w:basedOn w:val="1"/>
    <w:next w:val="14"/>
    <w:link w:val="63"/>
    <w:qFormat/>
    <w:uiPriority w:val="0"/>
    <w:pPr>
      <w:ind w:firstLine="540"/>
    </w:pPr>
    <w:rPr>
      <w:rFonts w:eastAsia="仿宋_GB2312"/>
      <w:sz w:val="28"/>
    </w:rPr>
  </w:style>
  <w:style w:type="paragraph" w:styleId="14">
    <w:name w:val="envelope return"/>
    <w:basedOn w:val="1"/>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82"/>
    <w:qFormat/>
    <w:uiPriority w:val="0"/>
    <w:rPr>
      <w:rFonts w:ascii="宋体" w:hAnsi="Courier New" w:cstheme="minorBidi"/>
      <w:szCs w:val="22"/>
    </w:rPr>
  </w:style>
  <w:style w:type="paragraph" w:styleId="18">
    <w:name w:val="toc 8"/>
    <w:basedOn w:val="1"/>
    <w:next w:val="1"/>
    <w:qFormat/>
    <w:uiPriority w:val="0"/>
    <w:pPr>
      <w:ind w:left="2940" w:leftChars="1400"/>
    </w:pPr>
  </w:style>
  <w:style w:type="paragraph" w:styleId="19">
    <w:name w:val="Date"/>
    <w:basedOn w:val="1"/>
    <w:next w:val="1"/>
    <w:link w:val="62"/>
    <w:qFormat/>
    <w:uiPriority w:val="0"/>
    <w:rPr>
      <w:rFonts w:ascii="Arial" w:hAnsi="Arial" w:eastAsia="楷体_GB2312"/>
      <w:sz w:val="28"/>
    </w:rPr>
  </w:style>
  <w:style w:type="paragraph" w:styleId="20">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1">
    <w:name w:val="Balloon Text"/>
    <w:basedOn w:val="1"/>
    <w:link w:val="76"/>
    <w:qFormat/>
    <w:uiPriority w:val="0"/>
    <w:rPr>
      <w:sz w:val="18"/>
      <w:szCs w:val="18"/>
    </w:rPr>
  </w:style>
  <w:style w:type="paragraph" w:styleId="22">
    <w:name w:val="footer"/>
    <w:basedOn w:val="1"/>
    <w:link w:val="57"/>
    <w:unhideWhenUsed/>
    <w:qFormat/>
    <w:uiPriority w:val="99"/>
    <w:pPr>
      <w:tabs>
        <w:tab w:val="center" w:pos="4153"/>
        <w:tab w:val="right" w:pos="8306"/>
      </w:tabs>
      <w:snapToGrid w:val="0"/>
      <w:jc w:val="left"/>
    </w:pPr>
    <w:rPr>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11"/>
    <w:next w:val="11"/>
    <w:link w:val="80"/>
    <w:semiHidden/>
    <w:qFormat/>
    <w:uiPriority w:val="99"/>
    <w:rPr>
      <w:b/>
      <w:bCs/>
    </w:rPr>
  </w:style>
  <w:style w:type="paragraph" w:styleId="34">
    <w:name w:val="Body Text First Indent 2"/>
    <w:basedOn w:val="13"/>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3"/>
    <w:qFormat/>
    <w:uiPriority w:val="0"/>
    <w:rPr>
      <w:sz w:val="18"/>
      <w:szCs w:val="18"/>
    </w:rPr>
  </w:style>
  <w:style w:type="character" w:customStyle="1" w:styleId="57">
    <w:name w:val="页脚 字符"/>
    <w:basedOn w:val="37"/>
    <w:link w:val="22"/>
    <w:qFormat/>
    <w:uiPriority w:val="0"/>
    <w:rPr>
      <w:sz w:val="18"/>
      <w:szCs w:val="18"/>
    </w:rPr>
  </w:style>
  <w:style w:type="character" w:customStyle="1" w:styleId="58">
    <w:name w:val="标题 1 字符"/>
    <w:basedOn w:val="37"/>
    <w:link w:val="5"/>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7"/>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8"/>
    <w:qFormat/>
    <w:uiPriority w:val="0"/>
    <w:rPr>
      <w:rFonts w:ascii="Arial" w:hAnsi="Arial" w:eastAsia="黑体" w:cs="Times New Roman"/>
      <w:b/>
      <w:kern w:val="0"/>
      <w:sz w:val="28"/>
      <w:szCs w:val="20"/>
    </w:rPr>
  </w:style>
  <w:style w:type="character" w:customStyle="1" w:styleId="62">
    <w:name w:val="日期 字符"/>
    <w:basedOn w:val="37"/>
    <w:link w:val="19"/>
    <w:qFormat/>
    <w:uiPriority w:val="0"/>
    <w:rPr>
      <w:rFonts w:ascii="Arial" w:hAnsi="Arial" w:eastAsia="楷体_GB2312" w:cs="Times New Roman"/>
      <w:sz w:val="28"/>
      <w:szCs w:val="20"/>
    </w:rPr>
  </w:style>
  <w:style w:type="character" w:customStyle="1" w:styleId="63">
    <w:name w:val="正文文本缩进 字符"/>
    <w:basedOn w:val="37"/>
    <w:link w:val="13"/>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20"/>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6"/>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3"/>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1"/>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11"/>
    <w:semiHidden/>
    <w:qFormat/>
    <w:uiPriority w:val="99"/>
    <w:rPr>
      <w:rFonts w:ascii="Times New Roman" w:hAnsi="Times New Roman" w:eastAsia="宋体" w:cs="Times New Roman"/>
      <w:szCs w:val="20"/>
    </w:rPr>
  </w:style>
  <w:style w:type="character" w:customStyle="1" w:styleId="80">
    <w:name w:val="批注主题 字符"/>
    <w:basedOn w:val="79"/>
    <w:link w:val="33"/>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7"/>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10"/>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2"/>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6"/>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11989</Words>
  <Characters>12628</Characters>
  <Lines>294</Lines>
  <Paragraphs>82</Paragraphs>
  <TotalTime>26</TotalTime>
  <ScaleCrop>false</ScaleCrop>
  <LinksUpToDate>false</LinksUpToDate>
  <CharactersWithSpaces>13753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NTKO</cp:lastModifiedBy>
  <cp:lastPrinted>2023-05-11T00:06:00Z</cp:lastPrinted>
  <dcterms:modified xsi:type="dcterms:W3CDTF">2023-06-16T01:18:41Z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0F91DF31B20842F794856516BA3C2BB1</vt:lpwstr>
  </property>
</Properties>
</file>