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22"/>
          <w:szCs w:val="22"/>
          <w:lang w:eastAsia="zh-CN"/>
        </w:rPr>
      </w:pPr>
      <w:bookmarkStart w:id="0" w:name="_Toc449620655"/>
      <w:bookmarkStart w:id="1" w:name="_Toc412798241"/>
    </w:p>
    <w:p w14:paraId="444D70E1">
      <w:pPr>
        <w:pStyle w:val="14"/>
        <w:jc w:val="center"/>
        <w:rPr>
          <w:rFonts w:hint="eastAsia" w:ascii="宋体" w:hAnsi="宋体" w:eastAsia="宋体" w:cs="宋体"/>
          <w:b/>
          <w:bCs/>
          <w:color w:val="auto"/>
          <w:sz w:val="22"/>
          <w:szCs w:val="22"/>
          <w:lang w:eastAsia="zh-CN"/>
        </w:rPr>
      </w:pPr>
    </w:p>
    <w:p w14:paraId="291F374C">
      <w:pPr>
        <w:pStyle w:val="14"/>
        <w:jc w:val="center"/>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48"/>
          <w:szCs w:val="48"/>
          <w:lang w:eastAsia="zh-CN"/>
        </w:rPr>
        <w:t>上土市镇农产品展示馆标识标牌等项目</w:t>
      </w:r>
    </w:p>
    <w:p w14:paraId="7987FA46">
      <w:pPr>
        <w:pStyle w:val="14"/>
        <w:jc w:val="center"/>
        <w:rPr>
          <w:rFonts w:hint="eastAsia" w:ascii="宋体" w:hAnsi="宋体" w:eastAsia="宋体" w:cs="宋体"/>
          <w:b/>
          <w:bCs/>
          <w:color w:val="auto"/>
          <w:sz w:val="22"/>
          <w:szCs w:val="22"/>
          <w:lang w:val="en-US" w:eastAsia="zh-CN"/>
        </w:rPr>
      </w:pPr>
    </w:p>
    <w:p w14:paraId="2747773F">
      <w:pPr>
        <w:pStyle w:val="14"/>
        <w:jc w:val="center"/>
        <w:rPr>
          <w:rFonts w:hint="eastAsia" w:ascii="宋体" w:hAnsi="宋体" w:eastAsia="宋体" w:cs="宋体"/>
          <w:b/>
          <w:bCs/>
          <w:color w:val="auto"/>
          <w:sz w:val="22"/>
          <w:szCs w:val="22"/>
          <w:lang w:val="en-US" w:eastAsia="zh-CN"/>
        </w:rPr>
      </w:pPr>
    </w:p>
    <w:p w14:paraId="3E327F0A">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center"/>
        <w:rPr>
          <w:rFonts w:hint="eastAsia" w:ascii="宋体" w:hAnsi="宋体" w:eastAsia="宋体" w:cs="宋体"/>
          <w:b/>
          <w:bCs/>
          <w:color w:val="auto"/>
          <w:sz w:val="48"/>
          <w:szCs w:val="48"/>
        </w:rPr>
      </w:pPr>
    </w:p>
    <w:p w14:paraId="6654F28E">
      <w:pPr>
        <w:adjustRightInd w:val="0"/>
        <w:snapToGrid w:val="0"/>
        <w:spacing w:line="360" w:lineRule="auto"/>
        <w:jc w:val="center"/>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项目编号：AHHYZX-2024027</w:t>
      </w:r>
    </w:p>
    <w:p w14:paraId="7CED2CE6">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jc w:val="center"/>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霍山县上土市镇人民政府</w:t>
      </w:r>
    </w:p>
    <w:p w14:paraId="39C62CD3">
      <w:pPr>
        <w:adjustRightInd w:val="0"/>
        <w:snapToGrid w:val="0"/>
        <w:spacing w:line="360" w:lineRule="auto"/>
        <w:jc w:val="center"/>
        <w:rPr>
          <w:rFonts w:hint="eastAsia" w:ascii="宋体" w:hAnsi="宋体" w:eastAsia="宋体" w:cs="宋体"/>
          <w:b/>
          <w:color w:val="auto"/>
          <w:sz w:val="32"/>
          <w:szCs w:val="32"/>
          <w:lang w:val="en-US" w:eastAsia="zh-CN"/>
        </w:rPr>
      </w:pPr>
      <w:r>
        <w:rPr>
          <w:rFonts w:hint="eastAsia" w:ascii="宋体" w:hAnsi="宋体" w:cs="宋体"/>
          <w:b/>
          <w:color w:val="auto"/>
          <w:sz w:val="32"/>
          <w:szCs w:val="32"/>
          <w:lang w:val="en-US" w:eastAsia="zh-CN"/>
        </w:rPr>
        <w:t xml:space="preserve">  </w:t>
      </w: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jc w:val="cente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二〇二四</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十二</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霍山县文盛文化传媒有限公司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上土市镇农产品展示馆标识标牌等项目</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26C18DCC">
      <w:pPr>
        <w:pStyle w:val="15"/>
        <w:adjustRightInd w:val="0"/>
        <w:snapToGrid w:val="0"/>
        <w:spacing w:before="0" w:beforeAutospacing="0" w:after="0" w:afterAutospacing="0" w:line="480" w:lineRule="auto"/>
        <w:ind w:firstLine="240" w:firstLineChars="100"/>
        <w:jc w:val="right"/>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w:t>
      </w:r>
      <w:r>
        <w:rPr>
          <w:rFonts w:hint="eastAsia" w:cs="宋体"/>
          <w:b w:val="0"/>
          <w:color w:val="auto"/>
          <w:kern w:val="0"/>
          <w:sz w:val="24"/>
          <w:szCs w:val="24"/>
          <w:u w:val="none"/>
          <w:lang w:val="en-US" w:eastAsia="zh-CN" w:bidi="ar-SA"/>
        </w:rPr>
        <w:t>霍山县上土市镇人民政府</w:t>
      </w:r>
    </w:p>
    <w:p w14:paraId="00F30677">
      <w:pPr>
        <w:pStyle w:val="15"/>
        <w:adjustRightInd w:val="0"/>
        <w:snapToGrid w:val="0"/>
        <w:spacing w:before="0" w:beforeAutospacing="0" w:after="0" w:afterAutospacing="0" w:line="480" w:lineRule="auto"/>
        <w:ind w:firstLine="240" w:firstLineChars="100"/>
        <w:jc w:val="right"/>
        <w:rPr>
          <w:rFonts w:hint="eastAsia" w:ascii="宋体" w:hAnsi="宋体" w:cs="宋体"/>
          <w:color w:val="auto"/>
        </w:rPr>
      </w:pPr>
      <w:r>
        <w:rPr>
          <w:rFonts w:hint="eastAsia" w:cs="宋体"/>
          <w:b w:val="0"/>
          <w:color w:val="auto"/>
          <w:kern w:val="0"/>
          <w:sz w:val="24"/>
          <w:szCs w:val="24"/>
          <w:highlight w:val="none"/>
          <w:u w:val="none"/>
          <w:lang w:val="en-US" w:eastAsia="zh-CN" w:bidi="ar-SA"/>
        </w:rPr>
        <w:t>2024年12月11日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95076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4A2BD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AHHYZX-2024027</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上土市镇农产品展示馆标识标牌等项目</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上土市镇</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霍山县上土市镇人民政府</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w:t>
      </w:r>
      <w:r>
        <w:rPr>
          <w:rFonts w:hint="eastAsia" w:cs="宋体"/>
          <w:color w:val="auto"/>
          <w:sz w:val="24"/>
          <w:szCs w:val="24"/>
          <w:lang w:val="en-US" w:eastAsia="zh-CN"/>
        </w:rPr>
        <w:t>上土市镇</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cs="宋体"/>
          <w:color w:val="auto"/>
          <w:sz w:val="24"/>
          <w:szCs w:val="24"/>
          <w:lang w:val="en-US" w:eastAsia="zh-CN"/>
        </w:rPr>
        <w:t>工程类</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cs="宋体"/>
          <w:color w:val="auto"/>
          <w:sz w:val="24"/>
          <w:szCs w:val="24"/>
          <w:lang w:val="en-US" w:eastAsia="zh-CN"/>
        </w:rPr>
        <w:t>直接发包</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标识标牌制作安装工程、家具柜体安装等工程，具体内容详见工程量清单</w:t>
      </w:r>
      <w:r>
        <w:rPr>
          <w:rFonts w:hint="eastAsia" w:ascii="宋体" w:hAnsi="宋体" w:eastAsia="宋体" w:cs="宋体"/>
          <w:b w:val="0"/>
          <w:bCs w:val="0"/>
          <w:color w:val="auto"/>
          <w:kern w:val="0"/>
          <w:sz w:val="24"/>
          <w:szCs w:val="24"/>
          <w:highlight w:val="none"/>
          <w:lang w:val="en-US" w:eastAsia="zh-CN" w:bidi="ar-SA"/>
        </w:rPr>
        <w:t>。总造价</w:t>
      </w:r>
      <w:r>
        <w:rPr>
          <w:rFonts w:hint="eastAsia" w:cs="宋体"/>
          <w:b w:val="0"/>
          <w:bCs w:val="0"/>
          <w:color w:val="auto"/>
          <w:kern w:val="0"/>
          <w:sz w:val="24"/>
          <w:szCs w:val="24"/>
          <w:highlight w:val="none"/>
          <w:lang w:val="en-US" w:eastAsia="zh-CN" w:bidi="ar-SA"/>
        </w:rPr>
        <w:t>25.58</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贰拾伍万伍仟捌佰贰拾柒元肆角贰分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255827.42元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贰拾叁万零贰佰肆拾肆元陆角捌分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230244.68元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10日历天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、承包人应具有有效</w:t>
      </w:r>
      <w:r>
        <w:rPr>
          <w:rFonts w:hint="eastAsia" w:cs="宋体"/>
          <w:color w:val="000000" w:themeColor="text1"/>
          <w:sz w:val="24"/>
          <w:szCs w:val="24"/>
          <w:highlight w:val="none"/>
          <w:shd w:val="clear" w:color="auto" w:fill="FFFFFF"/>
          <w:lang w:val="en-US" w:eastAsia="zh-CN"/>
          <w14:textFill>
            <w14:solidFill>
              <w14:schemeClr w14:val="tx1"/>
            </w14:solidFill>
          </w14:textFill>
        </w:rPr>
        <w:t>营业执照（有相关的营业范围）</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cs="宋体"/>
          <w:color w:val="000000" w:themeColor="text1"/>
          <w:sz w:val="24"/>
          <w:szCs w:val="24"/>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highlight w:val="yellow"/>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霍山县文盛文化传媒有限公司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霍山县衡山镇迎驾大道西路20-5号</w:t>
      </w:r>
      <w:r>
        <w:rPr>
          <w:rFonts w:hint="eastAsia" w:ascii="宋体" w:hAnsi="宋体" w:cs="宋体"/>
          <w:color w:val="auto"/>
          <w:kern w:val="0"/>
          <w:sz w:val="24"/>
          <w:highlight w:val="yellow"/>
          <w:u w:val="single"/>
          <w:lang w:val="en-US" w:eastAsia="zh-CN"/>
        </w:rPr>
        <w:fldChar w:fldCharType="begin"/>
      </w:r>
      <w:r>
        <w:rPr>
          <w:rFonts w:hint="eastAsia" w:ascii="宋体" w:hAnsi="宋体" w:cs="宋体"/>
          <w:color w:val="auto"/>
          <w:kern w:val="0"/>
          <w:sz w:val="24"/>
          <w:highlight w:val="yellow"/>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yellow"/>
          <w:u w:val="single"/>
          <w:lang w:val="en-US" w:eastAsia="zh-CN"/>
        </w:rPr>
        <w:fldChar w:fldCharType="separate"/>
      </w:r>
      <w:r>
        <w:rPr>
          <w:rFonts w:hint="eastAsia" w:ascii="宋体" w:hAnsi="宋体" w:cs="宋体"/>
          <w:color w:val="auto"/>
          <w:kern w:val="0"/>
          <w:sz w:val="24"/>
          <w:highlight w:val="yellow"/>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2024年12月11日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2024年12月16日11时00分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霍山县上土市镇人民政府</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许</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0564-5711321</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ascii="宋体" w:hAnsi="宋体" w:cs="宋体"/>
          <w:color w:val="auto"/>
          <w:sz w:val="24"/>
          <w:szCs w:val="24"/>
          <w:lang w:val="en-US" w:eastAsia="zh-CN"/>
        </w:rPr>
        <w:t>霍山县上土市镇</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jc w:val="left"/>
        <w:rPr>
          <w:rFonts w:hint="eastAsia"/>
          <w:lang w:val="en-US" w:eastAsia="zh-CN"/>
        </w:rPr>
      </w:pPr>
    </w:p>
    <w:p w14:paraId="54FBC54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霍山县上土市镇人民政府</w:t>
      </w: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2024年12月11</w:t>
      </w:r>
      <w:bookmarkStart w:id="9" w:name="_GoBack"/>
      <w:bookmarkEnd w:id="9"/>
      <w:r>
        <w:rPr>
          <w:rFonts w:hint="eastAsia" w:ascii="宋体" w:hAnsi="宋体" w:cs="宋体"/>
          <w:color w:val="auto"/>
          <w:kern w:val="0"/>
          <w:sz w:val="24"/>
          <w:szCs w:val="24"/>
          <w:highlight w:val="none"/>
          <w:lang w:val="en-US" w:eastAsia="zh-CN"/>
        </w:rPr>
        <w:t>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5E5364C4">
      <w:pPr>
        <w:pStyle w:val="14"/>
        <w:rPr>
          <w:rFonts w:hint="eastAsia"/>
        </w:rPr>
      </w:pPr>
    </w:p>
    <w:p w14:paraId="7C79B4F8">
      <w:pPr>
        <w:pStyle w:val="14"/>
        <w:rPr>
          <w:rFonts w:hint="eastAsia"/>
        </w:rPr>
      </w:pPr>
    </w:p>
    <w:p w14:paraId="2D24259B">
      <w:pPr>
        <w:pStyle w:val="14"/>
        <w:rPr>
          <w:rFonts w:hint="eastAsia"/>
        </w:rPr>
      </w:pPr>
    </w:p>
    <w:p w14:paraId="3FB5D371">
      <w:pPr>
        <w:pStyle w:val="14"/>
        <w:rPr>
          <w:rFonts w:hint="eastAsia"/>
        </w:rPr>
      </w:pPr>
    </w:p>
    <w:p w14:paraId="4AFE7838">
      <w:pPr>
        <w:pStyle w:val="14"/>
        <w:rPr>
          <w:rFonts w:hint="eastAsia"/>
        </w:rPr>
      </w:pPr>
    </w:p>
    <w:p w14:paraId="1A3F0521">
      <w:pPr>
        <w:pStyle w:val="14"/>
        <w:rPr>
          <w:rFonts w:hint="eastAsia"/>
        </w:rPr>
      </w:pPr>
    </w:p>
    <w:p w14:paraId="0A555AE6">
      <w:pPr>
        <w:pStyle w:val="14"/>
        <w:rPr>
          <w:rFonts w:hint="eastAsia"/>
        </w:rPr>
      </w:pPr>
    </w:p>
    <w:p w14:paraId="08B06FB3">
      <w:pPr>
        <w:pStyle w:val="14"/>
        <w:rPr>
          <w:rFonts w:hint="eastAsia"/>
        </w:rPr>
      </w:pPr>
    </w:p>
    <w:p w14:paraId="7F20C456">
      <w:pPr>
        <w:pStyle w:val="14"/>
        <w:rPr>
          <w:rFonts w:hint="eastAsia"/>
        </w:rPr>
      </w:pPr>
    </w:p>
    <w:p w14:paraId="352302B4">
      <w:pPr>
        <w:pStyle w:val="14"/>
        <w:rPr>
          <w:rFonts w:hint="eastAsia"/>
        </w:rPr>
      </w:pPr>
    </w:p>
    <w:p w14:paraId="52B0E815">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企业情况（包含营业执照等）；</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w:t>
      </w:r>
      <w:r>
        <w:rPr>
          <w:rFonts w:hint="eastAsia" w:ascii="宋体" w:hAnsi="宋体" w:cs="宋体"/>
          <w:color w:val="auto"/>
          <w:kern w:val="0"/>
          <w:sz w:val="24"/>
          <w:lang w:eastAsia="zh-CN"/>
        </w:rPr>
        <w:t>：</w:t>
      </w:r>
      <w:r>
        <w:rPr>
          <w:rFonts w:hint="eastAsia" w:ascii="宋体" w:hAnsi="宋体" w:eastAsia="宋体" w:cs="宋体"/>
          <w:color w:val="auto"/>
          <w:kern w:val="0"/>
          <w:sz w:val="24"/>
        </w:rPr>
        <w:t>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cs="宋体"/>
          <w:b w:val="0"/>
          <w:bCs w:val="0"/>
          <w:color w:val="auto"/>
          <w:sz w:val="24"/>
          <w:szCs w:val="24"/>
          <w:highlight w:val="none"/>
          <w:lang w:val="en-US" w:eastAsia="zh-CN"/>
        </w:rPr>
        <w:t>合同价的2%。</w:t>
      </w:r>
      <w:r>
        <w:rPr>
          <w:rStyle w:val="20"/>
          <w:rFonts w:hint="eastAsia" w:ascii="宋体" w:hAnsi="宋体" w:eastAsia="宋体" w:cs="宋体"/>
          <w:b w:val="0"/>
          <w:bCs w:val="0"/>
          <w:sz w:val="24"/>
        </w:rPr>
        <w:t>汇入账户名称</w:t>
      </w:r>
      <w:r>
        <w:rPr>
          <w:rStyle w:val="20"/>
          <w:rFonts w:hint="eastAsia" w:ascii="宋体" w:hAnsi="宋体" w:cs="宋体"/>
          <w:b w:val="0"/>
          <w:bCs w:val="0"/>
          <w:sz w:val="24"/>
          <w:lang w:eastAsia="zh-CN"/>
        </w:rPr>
        <w:t>、</w:t>
      </w:r>
      <w:r>
        <w:rPr>
          <w:rStyle w:val="20"/>
          <w:rFonts w:hint="eastAsia" w:ascii="宋体" w:hAnsi="宋体" w:eastAsia="宋体" w:cs="宋体"/>
          <w:b w:val="0"/>
          <w:bCs w:val="0"/>
          <w:sz w:val="24"/>
        </w:rPr>
        <w:t>银行名称</w:t>
      </w:r>
      <w:r>
        <w:rPr>
          <w:rStyle w:val="20"/>
          <w:rFonts w:hint="eastAsia" w:ascii="宋体" w:hAnsi="宋体" w:cs="宋体"/>
          <w:b w:val="0"/>
          <w:bCs w:val="0"/>
          <w:sz w:val="24"/>
          <w:lang w:eastAsia="zh-CN"/>
        </w:rPr>
        <w:t>、</w:t>
      </w:r>
      <w:r>
        <w:rPr>
          <w:rStyle w:val="20"/>
          <w:rFonts w:hint="eastAsia" w:ascii="宋体" w:hAnsi="宋体" w:eastAsia="宋体" w:cs="宋体"/>
          <w:b w:val="0"/>
          <w:bCs w:val="0"/>
          <w:sz w:val="24"/>
        </w:rPr>
        <w:t>银行</w:t>
      </w:r>
      <w:r>
        <w:rPr>
          <w:rStyle w:val="20"/>
          <w:rFonts w:hint="eastAsia" w:ascii="宋体" w:hAnsi="宋体" w:eastAsia="宋体" w:cs="宋体"/>
          <w:b w:val="0"/>
          <w:bCs w:val="0"/>
          <w:sz w:val="24"/>
          <w:lang w:eastAsia="zh-CN"/>
        </w:rPr>
        <w:t>账</w:t>
      </w:r>
      <w:r>
        <w:rPr>
          <w:rStyle w:val="20"/>
          <w:rFonts w:hint="eastAsia" w:ascii="宋体" w:hAnsi="宋体" w:eastAsia="宋体" w:cs="宋体"/>
          <w:b w:val="0"/>
          <w:bCs w:val="0"/>
          <w:sz w:val="24"/>
        </w:rPr>
        <w:t>号：</w:t>
      </w:r>
      <w:r>
        <w:rPr>
          <w:rFonts w:hint="eastAsia" w:ascii="宋体" w:hAnsi="宋体" w:eastAsia="宋体" w:cs="宋体"/>
          <w:color w:val="000000"/>
          <w:kern w:val="0"/>
          <w:sz w:val="24"/>
          <w:szCs w:val="24"/>
          <w:lang w:val="en-US" w:eastAsia="zh-CN" w:bidi="ar"/>
        </w:rPr>
        <w:t>签定合同前由招标人提供</w:t>
      </w:r>
      <w:r>
        <w:rPr>
          <w:rFonts w:hint="eastAsia" w:ascii="宋体" w:hAnsi="宋体" w:eastAsia="宋体" w:cs="宋体"/>
          <w:kern w:val="0"/>
          <w:sz w:val="24"/>
          <w:szCs w:val="24"/>
          <w:highlight w:val="none"/>
          <w:lang w:eastAsia="zh-CN"/>
        </w:rPr>
        <w:t>）</w:t>
      </w:r>
      <w:r>
        <w:rPr>
          <w:rStyle w:val="20"/>
          <w:rFonts w:hint="eastAsia" w:ascii="宋体" w:hAnsi="宋体" w:cs="宋体"/>
          <w:b w:val="0"/>
          <w:bCs w:val="0"/>
          <w:sz w:val="24"/>
          <w:lang w:eastAsia="zh-CN"/>
        </w:rPr>
        <w:t>。</w:t>
      </w:r>
    </w:p>
    <w:p w14:paraId="424749D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BC4EC9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 xml:space="preserve">项目合同签订时，收取项目合同价2%的履约保证金；项目验收并审计定案后，按项目审计定案价支付工程款，履约保证金转为工程质量保证金，一年内无工程质量问题退还。 </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tabs>
          <w:tab w:val="left" w:pos="3287"/>
        </w:tabs>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ab/>
      </w:r>
    </w:p>
    <w:p w14:paraId="6431D8A7">
      <w:pPr>
        <w:keepNext w:val="0"/>
        <w:keepLines w:val="0"/>
        <w:pageBreakBefore w:val="0"/>
        <w:widowControl/>
        <w:tabs>
          <w:tab w:val="left" w:pos="3287"/>
        </w:tabs>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cs="宋体"/>
          <w:kern w:val="0"/>
          <w:sz w:val="24"/>
          <w:szCs w:val="24"/>
          <w:highlight w:val="none"/>
          <w:lang w:eastAsia="zh-CN"/>
        </w:rPr>
      </w:pPr>
    </w:p>
    <w:p w14:paraId="7995FD0B">
      <w:pPr>
        <w:pStyle w:val="16"/>
        <w:rPr>
          <w:rFonts w:hint="eastAsia" w:ascii="宋体" w:hAnsi="宋体" w:eastAsia="宋体" w:cs="宋体"/>
          <w:kern w:val="0"/>
          <w:sz w:val="24"/>
          <w:szCs w:val="24"/>
          <w:highlight w:val="none"/>
        </w:rPr>
      </w:pPr>
    </w:p>
    <w:p w14:paraId="73D3DEE1">
      <w:pPr>
        <w:pStyle w:val="13"/>
        <w:rPr>
          <w:rFonts w:hint="eastAsia" w:ascii="宋体" w:hAnsi="宋体" w:eastAsia="宋体" w:cs="宋体"/>
          <w:kern w:val="0"/>
          <w:sz w:val="24"/>
          <w:szCs w:val="24"/>
          <w:highlight w:val="none"/>
        </w:rPr>
      </w:pPr>
    </w:p>
    <w:p w14:paraId="47EFDBAE">
      <w:pPr>
        <w:rPr>
          <w:rFonts w:hint="eastAsia" w:ascii="宋体" w:hAnsi="宋体" w:eastAsia="宋体" w:cs="宋体"/>
          <w:kern w:val="0"/>
          <w:sz w:val="24"/>
          <w:szCs w:val="24"/>
          <w:highlight w:val="none"/>
        </w:rPr>
      </w:pPr>
    </w:p>
    <w:p w14:paraId="76CE7FD7">
      <w:pPr>
        <w:rPr>
          <w:rFonts w:hint="eastAsia" w:ascii="宋体" w:hAnsi="宋体" w:eastAsia="宋体" w:cs="宋体"/>
          <w:kern w:val="0"/>
          <w:sz w:val="24"/>
          <w:szCs w:val="24"/>
          <w:highlight w:val="none"/>
        </w:rPr>
      </w:pPr>
    </w:p>
    <w:p w14:paraId="05B88F56">
      <w:pPr>
        <w:rPr>
          <w:rFonts w:hint="eastAsia" w:ascii="宋体" w:hAnsi="宋体" w:eastAsia="宋体" w:cs="宋体"/>
          <w:kern w:val="0"/>
          <w:sz w:val="24"/>
          <w:szCs w:val="24"/>
          <w:highlight w:val="none"/>
        </w:rPr>
      </w:pPr>
    </w:p>
    <w:p w14:paraId="2C7BF718">
      <w:pPr>
        <w:rPr>
          <w:rFonts w:hint="eastAsia" w:ascii="宋体" w:hAnsi="宋体" w:eastAsia="宋体" w:cs="宋体"/>
          <w:kern w:val="0"/>
          <w:sz w:val="24"/>
          <w:szCs w:val="24"/>
          <w:highlight w:val="none"/>
        </w:rPr>
      </w:pPr>
    </w:p>
    <w:p w14:paraId="2C5FE21A">
      <w:pPr>
        <w:rPr>
          <w:rFonts w:hint="eastAsia" w:ascii="宋体" w:hAnsi="宋体" w:eastAsia="宋体" w:cs="宋体"/>
          <w:kern w:val="0"/>
          <w:sz w:val="24"/>
          <w:szCs w:val="24"/>
          <w:highlight w:val="none"/>
        </w:rPr>
      </w:pPr>
    </w:p>
    <w:p w14:paraId="2F992572">
      <w:pPr>
        <w:rPr>
          <w:rFonts w:hint="eastAsia" w:ascii="宋体" w:hAnsi="宋体" w:eastAsia="宋体" w:cs="宋体"/>
          <w:kern w:val="0"/>
          <w:sz w:val="24"/>
          <w:szCs w:val="24"/>
          <w:highlight w:val="none"/>
        </w:rPr>
      </w:pPr>
    </w:p>
    <w:p w14:paraId="579CEEA6">
      <w:pPr>
        <w:rPr>
          <w:rFonts w:hint="eastAsia" w:ascii="宋体" w:hAnsi="宋体" w:eastAsia="宋体" w:cs="宋体"/>
          <w:kern w:val="0"/>
          <w:sz w:val="24"/>
          <w:szCs w:val="24"/>
          <w:highlight w:val="none"/>
        </w:rPr>
      </w:pPr>
    </w:p>
    <w:p w14:paraId="12D07660">
      <w:pPr>
        <w:rPr>
          <w:rFonts w:hint="eastAsia" w:ascii="宋体" w:hAnsi="宋体" w:eastAsia="宋体" w:cs="宋体"/>
          <w:kern w:val="0"/>
          <w:sz w:val="24"/>
          <w:szCs w:val="24"/>
          <w:highlight w:val="none"/>
        </w:rPr>
      </w:pPr>
    </w:p>
    <w:p w14:paraId="369CAEFC">
      <w:pPr>
        <w:rPr>
          <w:rFonts w:hint="eastAsia" w:ascii="宋体" w:hAnsi="宋体" w:eastAsia="宋体" w:cs="宋体"/>
          <w:kern w:val="0"/>
          <w:sz w:val="24"/>
          <w:szCs w:val="24"/>
          <w:highlight w:val="none"/>
        </w:rPr>
      </w:pPr>
    </w:p>
    <w:p w14:paraId="2C0D4CEA">
      <w:pPr>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1255_WPSOffice_Level1"/>
      <w:bookmarkStart w:id="3" w:name="_Toc30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7197761"/>
      <w:bookmarkStart w:id="5" w:name="_Toc25502_WPSOffice_Level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6017_WPSOffice_Level2"/>
      <w:bookmarkStart w:id="8" w:name="_Toc921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6F4E05"/>
    <w:rsid w:val="06AE79B7"/>
    <w:rsid w:val="07376B58"/>
    <w:rsid w:val="076B1CFB"/>
    <w:rsid w:val="07915ECA"/>
    <w:rsid w:val="07B72962"/>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DDE7532"/>
    <w:rsid w:val="0E296ECE"/>
    <w:rsid w:val="0F081DCE"/>
    <w:rsid w:val="0F6205C4"/>
    <w:rsid w:val="0F9D2C6D"/>
    <w:rsid w:val="111960B2"/>
    <w:rsid w:val="112A0531"/>
    <w:rsid w:val="11586E4C"/>
    <w:rsid w:val="11EA5C9C"/>
    <w:rsid w:val="12046B01"/>
    <w:rsid w:val="124D2729"/>
    <w:rsid w:val="12D415F9"/>
    <w:rsid w:val="12D70614"/>
    <w:rsid w:val="12E33B4D"/>
    <w:rsid w:val="12EB65E0"/>
    <w:rsid w:val="13C7650B"/>
    <w:rsid w:val="145C361A"/>
    <w:rsid w:val="14BE16BC"/>
    <w:rsid w:val="15845367"/>
    <w:rsid w:val="15F86E50"/>
    <w:rsid w:val="173B2557"/>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7753C2"/>
    <w:rsid w:val="21801CCF"/>
    <w:rsid w:val="221E77C8"/>
    <w:rsid w:val="223C1F39"/>
    <w:rsid w:val="23E46C65"/>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B380E26"/>
    <w:rsid w:val="3B6A6208"/>
    <w:rsid w:val="3BB24E13"/>
    <w:rsid w:val="3DFD5AD2"/>
    <w:rsid w:val="3E18459E"/>
    <w:rsid w:val="3E8C5290"/>
    <w:rsid w:val="3EBE701B"/>
    <w:rsid w:val="3F3317CD"/>
    <w:rsid w:val="3FBB3373"/>
    <w:rsid w:val="3FD0394A"/>
    <w:rsid w:val="407C4056"/>
    <w:rsid w:val="415C6EBD"/>
    <w:rsid w:val="41D53A15"/>
    <w:rsid w:val="422547DB"/>
    <w:rsid w:val="42542007"/>
    <w:rsid w:val="42A27BB3"/>
    <w:rsid w:val="44F20C6A"/>
    <w:rsid w:val="451A792D"/>
    <w:rsid w:val="455D148C"/>
    <w:rsid w:val="45A00829"/>
    <w:rsid w:val="45BA63A1"/>
    <w:rsid w:val="45EB3A89"/>
    <w:rsid w:val="46CD3CEF"/>
    <w:rsid w:val="46F5711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0A12F0"/>
    <w:rsid w:val="4F36320C"/>
    <w:rsid w:val="50F26F26"/>
    <w:rsid w:val="50FD79AB"/>
    <w:rsid w:val="511F62C6"/>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9F0BD0"/>
    <w:rsid w:val="5EA67407"/>
    <w:rsid w:val="5EB90133"/>
    <w:rsid w:val="5F164498"/>
    <w:rsid w:val="5F1C6CD8"/>
    <w:rsid w:val="5F243EAD"/>
    <w:rsid w:val="5F2641B0"/>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4F6DFC"/>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7"/>
    <w:next w:val="1"/>
    <w:autoRedefine/>
    <w:qFormat/>
    <w:uiPriority w:val="0"/>
    <w:pPr>
      <w:ind w:left="420" w:firstLine="420" w:firstLineChars="200"/>
    </w:pPr>
    <w:rPr>
      <w:rFonts w:ascii="Times New Roman" w:eastAsia="宋?"/>
    </w:rPr>
  </w:style>
  <w:style w:type="character" w:styleId="20">
    <w:name w:val="Strong"/>
    <w:basedOn w:val="19"/>
    <w:qFormat/>
    <w:uiPriority w:val="0"/>
    <w:rPr>
      <w:b/>
      <w:bCs/>
    </w:rPr>
  </w:style>
  <w:style w:type="character" w:styleId="21">
    <w:name w:val="FollowedHyperlink"/>
    <w:basedOn w:val="19"/>
    <w:autoRedefine/>
    <w:qFormat/>
    <w:uiPriority w:val="0"/>
    <w:rPr>
      <w:color w:val="800080"/>
      <w:u w:val="none"/>
    </w:rPr>
  </w:style>
  <w:style w:type="character" w:styleId="22">
    <w:name w:val="HTML Definition"/>
    <w:basedOn w:val="19"/>
    <w:autoRedefine/>
    <w:qFormat/>
    <w:uiPriority w:val="0"/>
  </w:style>
  <w:style w:type="character" w:styleId="23">
    <w:name w:val="HTML Typewriter"/>
    <w:basedOn w:val="19"/>
    <w:autoRedefine/>
    <w:qFormat/>
    <w:uiPriority w:val="0"/>
    <w:rPr>
      <w:rFonts w:ascii="monospace" w:hAnsi="monospace" w:eastAsia="monospace" w:cs="monospace"/>
      <w:sz w:val="20"/>
    </w:rPr>
  </w:style>
  <w:style w:type="character" w:styleId="24">
    <w:name w:val="HTML Acronym"/>
    <w:basedOn w:val="19"/>
    <w:autoRedefine/>
    <w:qFormat/>
    <w:uiPriority w:val="0"/>
  </w:style>
  <w:style w:type="character" w:styleId="25">
    <w:name w:val="HTML Variable"/>
    <w:basedOn w:val="19"/>
    <w:autoRedefine/>
    <w:qFormat/>
    <w:uiPriority w:val="0"/>
  </w:style>
  <w:style w:type="character" w:styleId="26">
    <w:name w:val="Hyperlink"/>
    <w:basedOn w:val="19"/>
    <w:autoRedefine/>
    <w:qFormat/>
    <w:uiPriority w:val="0"/>
    <w:rPr>
      <w:color w:val="0000FF"/>
      <w:u w:val="single"/>
    </w:rPr>
  </w:style>
  <w:style w:type="character" w:styleId="27">
    <w:name w:val="HTML Code"/>
    <w:basedOn w:val="19"/>
    <w:autoRedefine/>
    <w:qFormat/>
    <w:uiPriority w:val="0"/>
    <w:rPr>
      <w:rFonts w:hint="default" w:ascii="monospace" w:hAnsi="monospace" w:eastAsia="monospace" w:cs="monospace"/>
      <w:sz w:val="20"/>
    </w:rPr>
  </w:style>
  <w:style w:type="character" w:styleId="28">
    <w:name w:val="HTML Cite"/>
    <w:basedOn w:val="19"/>
    <w:autoRedefine/>
    <w:qFormat/>
    <w:uiPriority w:val="0"/>
  </w:style>
  <w:style w:type="character" w:styleId="29">
    <w:name w:val="HTML Keyboard"/>
    <w:basedOn w:val="19"/>
    <w:autoRedefine/>
    <w:qFormat/>
    <w:uiPriority w:val="0"/>
    <w:rPr>
      <w:rFonts w:hint="default" w:ascii="monospace" w:hAnsi="monospace" w:eastAsia="monospace" w:cs="monospace"/>
      <w:sz w:val="20"/>
    </w:rPr>
  </w:style>
  <w:style w:type="character" w:styleId="30">
    <w:name w:val="HTML Sample"/>
    <w:basedOn w:val="19"/>
    <w:autoRedefine/>
    <w:qFormat/>
    <w:uiPriority w:val="0"/>
    <w:rPr>
      <w:rFonts w:hint="default" w:ascii="monospace" w:hAnsi="monospace" w:eastAsia="monospace" w:cs="monospace"/>
    </w:rPr>
  </w:style>
  <w:style w:type="character" w:customStyle="1" w:styleId="31">
    <w:name w:val="first-child3"/>
    <w:basedOn w:val="19"/>
    <w:autoRedefine/>
    <w:qFormat/>
    <w:uiPriority w:val="0"/>
  </w:style>
  <w:style w:type="character" w:customStyle="1" w:styleId="32">
    <w:name w:val="hover"/>
    <w:basedOn w:val="19"/>
    <w:autoRedefine/>
    <w:qFormat/>
    <w:uiPriority w:val="0"/>
    <w:rPr>
      <w:u w:val="single"/>
    </w:rPr>
  </w:style>
  <w:style w:type="character" w:customStyle="1" w:styleId="33">
    <w:name w:val="layui-this"/>
    <w:basedOn w:val="19"/>
    <w:autoRedefine/>
    <w:qFormat/>
    <w:uiPriority w:val="0"/>
    <w:rPr>
      <w:bdr w:val="single" w:color="EEEEEE" w:sz="4" w:space="0"/>
      <w:shd w:val="clear" w:fill="FFFFFF"/>
    </w:rPr>
  </w:style>
  <w:style w:type="character" w:customStyle="1" w:styleId="34">
    <w:name w:val="hover7"/>
    <w:basedOn w:val="19"/>
    <w:autoRedefine/>
    <w:qFormat/>
    <w:uiPriority w:val="0"/>
    <w:rPr>
      <w:u w:val="single"/>
    </w:rPr>
  </w:style>
  <w:style w:type="character" w:customStyle="1" w:styleId="35">
    <w:name w:val="hover8"/>
    <w:basedOn w:val="19"/>
    <w:autoRedefine/>
    <w:qFormat/>
    <w:uiPriority w:val="0"/>
    <w:rPr>
      <w:u w:val="single"/>
    </w:rPr>
  </w:style>
  <w:style w:type="character" w:customStyle="1" w:styleId="36">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2784</Words>
  <Characters>2923</Characters>
  <Lines>0</Lines>
  <Paragraphs>0</Paragraphs>
  <TotalTime>1</TotalTime>
  <ScaleCrop>false</ScaleCrop>
  <LinksUpToDate>false</LinksUpToDate>
  <CharactersWithSpaces>3591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2024-12-16T02:18:50Z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B51B02C85CA648E199046A7FB508F424</vt:lpwstr>
  </property>
</Properties>
</file>