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衡山镇东城中心学校教学楼楼地面维修工程</w:t>
      </w:r>
    </w:p>
    <w:p w14:paraId="7A4D8D74">
      <w:pPr>
        <w:pStyle w:val="2"/>
        <w:rPr>
          <w:rFonts w:hint="eastAsia" w:ascii="宋体" w:hAnsi="宋体"/>
          <w:b/>
          <w:spacing w:val="0"/>
          <w:sz w:val="48"/>
          <w:szCs w:val="48"/>
          <w:lang w:eastAsia="zh-CN"/>
        </w:rPr>
      </w:pPr>
    </w:p>
    <w:p w14:paraId="59FB3EA3">
      <w:pPr>
        <w:pStyle w:val="6"/>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2"/>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2"/>
      </w:pPr>
    </w:p>
    <w:p w14:paraId="2D4D2B18">
      <w:pPr>
        <w:jc w:val="center"/>
        <w:rPr>
          <w:rFonts w:ascii="宋体" w:hAnsi="宋体"/>
          <w:b/>
          <w:sz w:val="52"/>
          <w:szCs w:val="52"/>
        </w:rPr>
      </w:pPr>
      <w:r>
        <w:rPr>
          <w:rFonts w:hint="eastAsia" w:ascii="宋体" w:hAnsi="宋体"/>
          <w:b/>
          <w:sz w:val="52"/>
          <w:szCs w:val="52"/>
        </w:rPr>
        <w:t>文</w:t>
      </w:r>
    </w:p>
    <w:p w14:paraId="64AD26E2">
      <w:pPr>
        <w:pStyle w:val="2"/>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项目编号：HYZX-2025-0703</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2"/>
      </w:pPr>
    </w:p>
    <w:p w14:paraId="431AF420">
      <w:pPr>
        <w:pStyle w:val="6"/>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霍山县衡山镇东城中心学校</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5</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07</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3A6E51C8">
      <w:pPr>
        <w:pStyle w:val="8"/>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28964"/>
      <w:bookmarkStart w:id="1" w:name="_Toc30186"/>
      <w:bookmarkStart w:id="2" w:name="_Toc216158623"/>
      <w:bookmarkStart w:id="3" w:name="_Toc363199264"/>
    </w:p>
    <w:p w14:paraId="40E0543C">
      <w:pPr>
        <w:pStyle w:val="8"/>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衡山镇东城中心学校教学楼楼地面维修工程</w:t>
      </w:r>
    </w:p>
    <w:p w14:paraId="71C58BC6">
      <w:pPr>
        <w:pStyle w:val="8"/>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竞争性谈判公告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highlight w:val="none"/>
        </w:rPr>
      </w:pPr>
      <w:r>
        <w:rPr>
          <w:rFonts w:hint="eastAsia" w:ascii="宋体" w:hAnsi="宋体" w:eastAsia="宋体" w:cs="宋体"/>
          <w:sz w:val="24"/>
          <w:szCs w:val="24"/>
        </w:rPr>
        <w:t>项目概况：</w:t>
      </w:r>
      <w:r>
        <w:rPr>
          <w:rFonts w:hint="eastAsia" w:ascii="宋体" w:hAnsi="宋体" w:cs="宋体"/>
          <w:sz w:val="24"/>
          <w:szCs w:val="24"/>
          <w:u w:val="single"/>
          <w:lang w:eastAsia="zh-CN"/>
        </w:rPr>
        <w:t>衡山镇东城中心学校教学楼楼地面维修工程</w:t>
      </w:r>
      <w:r>
        <w:rPr>
          <w:rFonts w:hint="eastAsia" w:ascii="宋体" w:hAnsi="宋体" w:cs="宋体"/>
          <w:sz w:val="24"/>
          <w:szCs w:val="24"/>
          <w:u w:val="none"/>
          <w:lang w:eastAsia="zh-CN"/>
        </w:rPr>
        <w:t>的潜在</w:t>
      </w:r>
      <w:r>
        <w:rPr>
          <w:rFonts w:hint="eastAsia" w:ascii="宋体" w:hAnsi="宋体" w:cs="宋体"/>
          <w:sz w:val="24"/>
          <w:szCs w:val="24"/>
          <w:u w:val="none"/>
        </w:rPr>
        <w:t>供应商</w:t>
      </w:r>
      <w:r>
        <w:rPr>
          <w:rFonts w:hint="eastAsia" w:ascii="宋体" w:hAnsi="宋体" w:eastAsia="宋体" w:cs="宋体"/>
          <w:sz w:val="24"/>
          <w:szCs w:val="24"/>
        </w:rPr>
        <w:t>应在六安市公共资源交易电子服务系统（</w:t>
      </w:r>
      <w:r>
        <w:rPr>
          <w:rFonts w:hint="eastAsia" w:ascii="宋体" w:hAnsi="宋体" w:eastAsia="宋体" w:cs="宋体"/>
          <w:sz w:val="24"/>
          <w:szCs w:val="24"/>
          <w:highlight w:val="none"/>
          <w:lang w:eastAsia="zh-CN"/>
        </w:rPr>
        <w:fldChar w:fldCharType="begin"/>
      </w:r>
      <w:r>
        <w:rPr>
          <w:rFonts w:hint="eastAsia" w:ascii="宋体" w:hAnsi="宋体" w:eastAsia="宋体" w:cs="宋体"/>
          <w:sz w:val="24"/>
          <w:szCs w:val="24"/>
          <w:highlight w:val="none"/>
          <w:lang w:eastAsia="zh-CN"/>
        </w:rPr>
        <w:instrText xml:space="preserve"> HYPERLINK "http://ggzy.luan.gov.cn）获取采购文件，并于2022年11月" </w:instrText>
      </w:r>
      <w:r>
        <w:rPr>
          <w:rFonts w:hint="eastAsia" w:ascii="宋体" w:hAnsi="宋体" w:eastAsia="宋体" w:cs="宋体"/>
          <w:sz w:val="24"/>
          <w:szCs w:val="24"/>
          <w:highlight w:val="none"/>
          <w:lang w:eastAsia="zh-CN"/>
        </w:rPr>
        <w:fldChar w:fldCharType="separate"/>
      </w:r>
      <w:r>
        <w:rPr>
          <w:rFonts w:hint="eastAsia" w:ascii="宋体" w:hAnsi="宋体" w:eastAsia="宋体" w:cs="宋体"/>
          <w:sz w:val="24"/>
          <w:szCs w:val="24"/>
          <w:highlight w:val="none"/>
          <w:lang w:eastAsia="zh-CN"/>
        </w:rPr>
        <w:t>http://ggzy.luan.gov.cn）、</w:t>
      </w:r>
      <w:r>
        <w:rPr>
          <w:rFonts w:hint="eastAsia" w:ascii="宋体" w:hAnsi="宋体" w:eastAsia="宋体" w:cs="宋体"/>
          <w:sz w:val="24"/>
          <w:szCs w:val="24"/>
          <w:highlight w:val="none"/>
          <w:lang w:val="en-US" w:eastAsia="zh-CN"/>
        </w:rPr>
        <w:t>安徽衡宇工程咨询有限公司（http://www.ahhygczx.com/)“</w:t>
      </w:r>
      <w:r>
        <w:rPr>
          <w:rFonts w:hint="eastAsia" w:ascii="宋体" w:hAnsi="宋体" w:eastAsia="宋体" w:cs="宋体"/>
          <w:sz w:val="24"/>
          <w:szCs w:val="24"/>
          <w:highlight w:val="none"/>
          <w:lang w:eastAsia="zh-CN"/>
        </w:rPr>
        <w:t>获取采购文件，并于202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eastAsia="zh-CN"/>
        </w:rPr>
        <w:t>年</w:t>
      </w:r>
      <w:r>
        <w:rPr>
          <w:rFonts w:hint="eastAsia" w:ascii="宋体" w:hAnsi="宋体" w:cs="宋体"/>
          <w:sz w:val="24"/>
          <w:szCs w:val="24"/>
          <w:highlight w:val="none"/>
          <w:lang w:val="en-US" w:eastAsia="zh-CN"/>
        </w:rPr>
        <w:t>07</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eastAsia="zh-CN"/>
        </w:rPr>
        <w:fldChar w:fldCharType="end"/>
      </w:r>
      <w:r>
        <w:rPr>
          <w:rFonts w:hint="eastAsia" w:ascii="宋体" w:hAnsi="宋体" w:cs="宋体"/>
          <w:sz w:val="24"/>
          <w:szCs w:val="24"/>
          <w:highlight w:val="none"/>
          <w:lang w:val="en-US" w:eastAsia="zh-CN"/>
        </w:rPr>
        <w:t>18</w:t>
      </w:r>
      <w:r>
        <w:rPr>
          <w:rFonts w:hint="eastAsia" w:ascii="宋体" w:hAnsi="宋体" w:eastAsia="宋体" w:cs="宋体"/>
          <w:sz w:val="24"/>
          <w:szCs w:val="24"/>
          <w:highlight w:val="none"/>
          <w:lang w:eastAsia="zh-CN"/>
        </w:rPr>
        <w:t>日</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eastAsia="zh-CN"/>
        </w:rPr>
        <w:t>点</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 xml:space="preserve">0 </w:t>
      </w:r>
      <w:r>
        <w:rPr>
          <w:rFonts w:hint="eastAsia" w:ascii="宋体" w:hAnsi="宋体" w:eastAsia="宋体" w:cs="宋体"/>
          <w:sz w:val="24"/>
          <w:szCs w:val="24"/>
          <w:highlight w:val="none"/>
          <w:lang w:eastAsia="zh-CN"/>
        </w:rPr>
        <w:t>分（北京时间）前提交响应文件。</w:t>
      </w:r>
    </w:p>
    <w:p w14:paraId="43F7D3CC">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35393629"/>
      <w:bookmarkStart w:id="5" w:name="_Toc28359089"/>
      <w:bookmarkStart w:id="6" w:name="_Toc7777"/>
      <w:bookmarkStart w:id="7" w:name="_Toc35393798"/>
      <w:bookmarkStart w:id="8" w:name="_Toc28359012"/>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cs="宋体"/>
          <w:sz w:val="24"/>
          <w:szCs w:val="24"/>
          <w:lang w:eastAsia="zh-CN"/>
        </w:rPr>
        <w:t>衡山镇东城中心学校教学楼楼地面维修工程</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w:t>
      </w:r>
      <w:r>
        <w:rPr>
          <w:rFonts w:hint="eastAsia" w:ascii="宋体" w:hAnsi="宋体" w:cs="宋体"/>
          <w:sz w:val="24"/>
          <w:szCs w:val="24"/>
          <w:lang w:val="en-US" w:eastAsia="zh-CN"/>
        </w:rPr>
        <w:t>HYZX-2025-0703</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、预算金额：</w:t>
      </w:r>
      <w:r>
        <w:rPr>
          <w:rFonts w:hint="eastAsia" w:ascii="宋体" w:hAnsi="宋体" w:eastAsia="宋体" w:cs="宋体"/>
          <w:sz w:val="24"/>
          <w:szCs w:val="24"/>
          <w:lang w:val="en-US" w:eastAsia="zh-CN"/>
        </w:rPr>
        <w:t>177228.19</w:t>
      </w:r>
      <w:r>
        <w:rPr>
          <w:rFonts w:hint="eastAsia" w:ascii="宋体" w:hAnsi="宋体" w:eastAsia="宋体" w:cs="宋体"/>
          <w:sz w:val="24"/>
          <w:szCs w:val="24"/>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6</w:t>
      </w:r>
      <w:r>
        <w:rPr>
          <w:rFonts w:hint="eastAsia" w:ascii="宋体" w:hAnsi="宋体" w:eastAsia="宋体" w:cs="宋体"/>
          <w:sz w:val="24"/>
          <w:szCs w:val="24"/>
        </w:rPr>
        <w:t>、最高限价：</w:t>
      </w:r>
      <w:r>
        <w:rPr>
          <w:rFonts w:hint="eastAsia" w:ascii="宋体" w:hAnsi="宋体" w:eastAsia="宋体" w:cs="宋体"/>
          <w:sz w:val="24"/>
          <w:szCs w:val="24"/>
          <w:lang w:val="en-US" w:eastAsia="zh-CN"/>
        </w:rPr>
        <w:t>177228.19</w:t>
      </w:r>
      <w:r>
        <w:rPr>
          <w:rFonts w:hint="eastAsia" w:ascii="宋体" w:hAnsi="宋体" w:eastAsia="宋体" w:cs="宋体"/>
          <w:sz w:val="24"/>
          <w:szCs w:val="24"/>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、采购需求：本项目</w:t>
      </w:r>
      <w:bookmarkStart w:id="9" w:name="_Hlk117796205"/>
      <w:r>
        <w:rPr>
          <w:rFonts w:hint="eastAsia" w:ascii="宋体" w:hAnsi="宋体" w:eastAsia="宋体" w:cs="宋体"/>
          <w:sz w:val="24"/>
          <w:szCs w:val="24"/>
          <w:highlight w:val="none"/>
        </w:rPr>
        <w:t>位于</w:t>
      </w:r>
      <w:bookmarkEnd w:id="9"/>
      <w:r>
        <w:rPr>
          <w:rFonts w:hint="eastAsia" w:ascii="宋体" w:hAnsi="宋体" w:eastAsia="宋体" w:cs="宋体"/>
          <w:sz w:val="24"/>
          <w:szCs w:val="24"/>
          <w:highlight w:val="none"/>
          <w:lang w:val="en-US" w:eastAsia="zh-CN"/>
        </w:rPr>
        <w:t>霍山县</w:t>
      </w:r>
      <w:r>
        <w:rPr>
          <w:rFonts w:hint="eastAsia" w:ascii="宋体" w:hAnsi="宋体" w:cs="宋体"/>
          <w:sz w:val="24"/>
          <w:szCs w:val="24"/>
          <w:highlight w:val="none"/>
          <w:lang w:val="en-US" w:eastAsia="zh-CN"/>
        </w:rPr>
        <w:t>衡山镇</w:t>
      </w:r>
      <w:r>
        <w:rPr>
          <w:rFonts w:hint="eastAsia" w:ascii="宋体" w:hAnsi="宋体" w:eastAsia="宋体" w:cs="宋体"/>
          <w:sz w:val="24"/>
          <w:szCs w:val="24"/>
          <w:highlight w:val="none"/>
          <w:lang w:val="en-US" w:eastAsia="zh-CN"/>
        </w:rPr>
        <w:t>，工程内容包括</w:t>
      </w:r>
      <w:r>
        <w:rPr>
          <w:rFonts w:hint="eastAsia" w:ascii="宋体" w:hAnsi="宋体" w:cs="宋体"/>
          <w:sz w:val="24"/>
          <w:szCs w:val="24"/>
          <w:highlight w:val="none"/>
          <w:lang w:val="en-US" w:eastAsia="zh-CN"/>
        </w:rPr>
        <w:t>课桌椅搬运、木地板拆除、破损地面修复、自流坪楼地面、PVC卷材楼地面等</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工程造价约17</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722819万元</w:t>
      </w:r>
      <w:r>
        <w:rPr>
          <w:rFonts w:hint="eastAsia" w:ascii="宋体" w:hAnsi="宋体" w:cs="宋体"/>
          <w:sz w:val="24"/>
          <w:szCs w:val="24"/>
          <w:lang w:val="en-US" w:eastAsia="zh-CN"/>
        </w:rPr>
        <w:t>，具体</w:t>
      </w:r>
      <w:r>
        <w:rPr>
          <w:rFonts w:hint="eastAsia" w:ascii="宋体" w:hAnsi="宋体" w:eastAsia="宋体" w:cs="宋体"/>
          <w:sz w:val="24"/>
          <w:szCs w:val="24"/>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、合同履行期限：</w:t>
      </w:r>
      <w:r>
        <w:rPr>
          <w:rFonts w:hint="eastAsia" w:ascii="宋体" w:hAnsi="宋体" w:cs="宋体"/>
          <w:sz w:val="24"/>
          <w:szCs w:val="24"/>
          <w:lang w:val="en-US" w:eastAsia="zh-CN"/>
        </w:rPr>
        <w:t>20</w:t>
      </w:r>
      <w:r>
        <w:rPr>
          <w:rFonts w:hint="eastAsia" w:ascii="宋体" w:hAnsi="宋体" w:eastAsia="宋体" w:cs="宋体"/>
          <w:sz w:val="24"/>
          <w:szCs w:val="24"/>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、是否接受联合体：本项目不接受联合体</w:t>
      </w:r>
    </w:p>
    <w:p w14:paraId="25DEC309">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0" w:name="_Toc28359090"/>
      <w:bookmarkStart w:id="11" w:name="_Toc35393799"/>
      <w:bookmarkStart w:id="12" w:name="_Toc35393630"/>
      <w:bookmarkStart w:id="13" w:name="_Toc11070"/>
      <w:bookmarkStart w:id="14" w:name="_Toc28359013"/>
      <w:r>
        <w:rPr>
          <w:rFonts w:hint="eastAsia" w:ascii="宋体" w:hAnsi="宋体" w:eastAsia="宋体" w:cs="宋体"/>
          <w:b/>
          <w:bCs w:val="0"/>
          <w:sz w:val="24"/>
          <w:szCs w:val="24"/>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1、满足《中华人民共和国政府采购法》第二十二条规定；</w:t>
      </w:r>
    </w:p>
    <w:p w14:paraId="03133345">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15" w:name="_Toc28359014"/>
      <w:bookmarkStart w:id="16" w:name="_Toc28359091"/>
      <w:r>
        <w:rPr>
          <w:rFonts w:hint="eastAsia" w:ascii="宋体" w:hAnsi="宋体" w:eastAsia="宋体" w:cs="宋体"/>
          <w:sz w:val="24"/>
          <w:szCs w:val="24"/>
          <w:lang w:val="en-US" w:eastAsia="zh-CN"/>
        </w:rPr>
        <w:t>2、本项目的特定资格要求：</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（1）供应商具备</w:t>
      </w:r>
      <w:r>
        <w:rPr>
          <w:rFonts w:hint="eastAsia" w:ascii="宋体" w:hAnsi="宋体" w:cs="宋体"/>
          <w:sz w:val="24"/>
          <w:szCs w:val="24"/>
          <w:lang w:val="en-US" w:eastAsia="zh-CN"/>
        </w:rPr>
        <w:t>建筑工程</w:t>
      </w:r>
      <w:r>
        <w:rPr>
          <w:rFonts w:hint="eastAsia" w:ascii="宋体" w:hAnsi="宋体" w:eastAsia="宋体" w:cs="宋体"/>
          <w:sz w:val="24"/>
          <w:szCs w:val="24"/>
          <w:lang w:val="en-US" w:eastAsia="zh-CN"/>
        </w:rPr>
        <w:t>施工总承包三级及以上资质，具有有效安全生产许可证；</w:t>
      </w:r>
    </w:p>
    <w:p w14:paraId="428E79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（2）拟派项目经理（建造师）应具有</w:t>
      </w:r>
      <w:r>
        <w:rPr>
          <w:rFonts w:hint="eastAsia" w:ascii="宋体" w:hAnsi="宋体" w:cs="宋体"/>
          <w:sz w:val="24"/>
          <w:szCs w:val="24"/>
          <w:lang w:val="en-US" w:eastAsia="zh-CN"/>
        </w:rPr>
        <w:t>建筑工程</w:t>
      </w:r>
      <w:r>
        <w:rPr>
          <w:rFonts w:hint="eastAsia" w:ascii="宋体" w:hAnsi="宋体" w:eastAsia="宋体" w:cs="宋体"/>
          <w:sz w:val="24"/>
          <w:szCs w:val="24"/>
          <w:lang w:val="en-US" w:eastAsia="zh-CN"/>
        </w:rPr>
        <w:t>专业二级及以上注册建造师证书及B类安全生产考核合格证书；无在建工程（提供无在建承诺函，格式参考附件）。</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3B977C4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宋体" w:hAnsi="宋体" w:eastAsia="宋体" w:cs="宋体"/>
          <w:b/>
          <w:bCs/>
          <w:sz w:val="24"/>
          <w:szCs w:val="24"/>
          <w:lang w:val="en-US" w:eastAsia="zh-CN"/>
        </w:rPr>
        <w:t>项目经理、技术负责人</w:t>
      </w:r>
      <w:r>
        <w:rPr>
          <w:rFonts w:hint="eastAsia" w:ascii="宋体" w:hAnsi="宋体" w:eastAsia="宋体" w:cs="宋体"/>
          <w:sz w:val="24"/>
          <w:szCs w:val="24"/>
          <w:lang w:val="en-US" w:eastAsia="zh-CN"/>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w:t>
      </w:r>
      <w:r>
        <w:rPr>
          <w:rFonts w:hint="eastAsia" w:ascii="宋体" w:hAnsi="宋体" w:cs="宋体"/>
          <w:sz w:val="24"/>
          <w:szCs w:val="24"/>
          <w:lang w:val="en-US" w:eastAsia="zh-CN"/>
        </w:rPr>
        <w:t>人员</w:t>
      </w:r>
      <w:r>
        <w:rPr>
          <w:rFonts w:hint="eastAsia" w:ascii="宋体" w:hAnsi="宋体" w:eastAsia="宋体" w:cs="宋体"/>
          <w:sz w:val="24"/>
          <w:szCs w:val="24"/>
          <w:lang w:val="en-US" w:eastAsia="zh-CN"/>
        </w:rPr>
        <w:t>姓名的工资打卡流水账单原件扫描件）。</w:t>
      </w:r>
    </w:p>
    <w:p w14:paraId="5DAE1517">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35393631"/>
      <w:bookmarkStart w:id="18" w:name="_Toc35393800"/>
      <w:bookmarkStart w:id="19" w:name="_Toc15899"/>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35393632"/>
      <w:bookmarkStart w:id="21" w:name="_Toc35393801"/>
      <w:bookmarkStart w:id="22" w:name="_Toc28359015"/>
      <w:bookmarkStart w:id="23" w:name="_Toc13207"/>
      <w:bookmarkStart w:id="24" w:name="_Toc28359092"/>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w:t>
      </w:r>
      <w:r>
        <w:rPr>
          <w:rFonts w:hint="eastAsia" w:ascii="宋体" w:hAnsi="宋体" w:cs="宋体"/>
          <w:sz w:val="24"/>
          <w:szCs w:val="24"/>
          <w:lang w:val="en-US" w:eastAsia="zh-CN"/>
        </w:rPr>
        <w:t>潜在</w:t>
      </w:r>
      <w:r>
        <w:rPr>
          <w:rFonts w:hint="eastAsia" w:ascii="宋体" w:hAnsi="宋体" w:eastAsia="宋体" w:cs="宋体"/>
          <w:sz w:val="24"/>
          <w:szCs w:val="24"/>
          <w:lang w:val="en-US" w:eastAsia="zh-CN"/>
        </w:rPr>
        <w:t>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highlight w:val="none"/>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highlight w:val="none"/>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1、递交截止时间：202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年</w:t>
      </w:r>
      <w:r>
        <w:rPr>
          <w:rFonts w:hint="eastAsia" w:ascii="宋体" w:hAnsi="宋体" w:cs="宋体"/>
          <w:sz w:val="24"/>
          <w:szCs w:val="24"/>
          <w:highlight w:val="none"/>
          <w:lang w:val="en-US" w:eastAsia="zh-CN"/>
        </w:rPr>
        <w:t>07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18</w:t>
      </w:r>
      <w:r>
        <w:rPr>
          <w:rFonts w:hint="eastAsia" w:ascii="宋体" w:hAnsi="宋体" w:eastAsia="宋体" w:cs="宋体"/>
          <w:sz w:val="24"/>
          <w:szCs w:val="24"/>
          <w:highlight w:val="none"/>
          <w:lang w:val="en-US" w:eastAsia="zh-CN"/>
        </w:rPr>
        <w:t>日</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点</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3、递交地点：安徽衡宇工程咨询有限公司二楼开标厅</w:t>
      </w:r>
      <w:r>
        <w:rPr>
          <w:rFonts w:hint="eastAsia" w:ascii="宋体" w:hAnsi="宋体" w:eastAsia="宋体" w:cs="宋体"/>
          <w:sz w:val="24"/>
          <w:szCs w:val="24"/>
          <w:highlight w:val="none"/>
          <w:lang w:eastAsia="zh-CN"/>
        </w:rPr>
        <w:t>（霍山县衡山镇中兴南路16号（老建设局大院</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楼））</w:t>
      </w:r>
    </w:p>
    <w:p w14:paraId="3177A5D1">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highlight w:val="none"/>
        </w:rPr>
      </w:pPr>
      <w:bookmarkStart w:id="25" w:name="_Toc35393802"/>
      <w:bookmarkStart w:id="26" w:name="_Toc35393633"/>
      <w:bookmarkStart w:id="27" w:name="_Toc31128"/>
      <w:bookmarkStart w:id="28" w:name="_Toc28359093"/>
      <w:bookmarkStart w:id="29" w:name="_Toc28359016"/>
      <w:r>
        <w:rPr>
          <w:rFonts w:hint="eastAsia" w:ascii="宋体" w:hAnsi="宋体" w:eastAsia="宋体" w:cs="宋体"/>
          <w:b/>
          <w:bCs w:val="0"/>
          <w:sz w:val="24"/>
          <w:szCs w:val="24"/>
          <w:highlight w:val="none"/>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bookmarkStart w:id="30" w:name="_Toc28359017"/>
      <w:bookmarkStart w:id="31" w:name="_Toc25132"/>
      <w:bookmarkStart w:id="32" w:name="_Toc28359094"/>
      <w:bookmarkStart w:id="33" w:name="_Toc35393634"/>
      <w:bookmarkStart w:id="34" w:name="_Toc35393803"/>
      <w:r>
        <w:rPr>
          <w:rFonts w:hint="eastAsia" w:ascii="宋体" w:hAnsi="宋体" w:eastAsia="宋体" w:cs="宋体"/>
          <w:sz w:val="24"/>
          <w:szCs w:val="24"/>
          <w:highlight w:val="none"/>
          <w:lang w:val="en-US" w:eastAsia="zh-CN"/>
        </w:rPr>
        <w:t>1、开启时间：202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年</w:t>
      </w:r>
      <w:r>
        <w:rPr>
          <w:rFonts w:hint="eastAsia" w:ascii="宋体" w:hAnsi="宋体" w:cs="宋体"/>
          <w:sz w:val="24"/>
          <w:szCs w:val="24"/>
          <w:highlight w:val="none"/>
          <w:lang w:val="en-US" w:eastAsia="zh-CN"/>
        </w:rPr>
        <w:t>07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18</w:t>
      </w:r>
      <w:r>
        <w:rPr>
          <w:rFonts w:hint="eastAsia" w:ascii="宋体" w:hAnsi="宋体" w:eastAsia="宋体" w:cs="宋体"/>
          <w:sz w:val="24"/>
          <w:szCs w:val="24"/>
          <w:highlight w:val="none"/>
          <w:lang w:val="en-US" w:eastAsia="zh-CN"/>
        </w:rPr>
        <w:t>日</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点</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0分（北京时间</w:t>
      </w:r>
      <w:r>
        <w:rPr>
          <w:rFonts w:hint="eastAsia" w:ascii="宋体" w:hAnsi="宋体" w:cs="宋体"/>
          <w:sz w:val="24"/>
          <w:szCs w:val="24"/>
          <w:highlight w:val="none"/>
          <w:lang w:val="en-US" w:eastAsia="zh-CN"/>
        </w:rPr>
        <w:t>）</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635"/>
      <w:bookmarkStart w:id="36" w:name="_Toc35393804"/>
      <w:r>
        <w:rPr>
          <w:rFonts w:hint="eastAsia" w:ascii="宋体" w:hAnsi="宋体" w:eastAsia="宋体" w:cs="宋体"/>
          <w:b/>
          <w:bCs w:val="0"/>
          <w:sz w:val="24"/>
          <w:szCs w:val="24"/>
        </w:rPr>
        <w:t>其他事宜</w:t>
      </w:r>
      <w:bookmarkEnd w:id="35"/>
      <w:bookmarkEnd w:id="36"/>
      <w:bookmarkStart w:id="37" w:name="_Toc35393805"/>
      <w:bookmarkStart w:id="38" w:name="_Toc35393636"/>
      <w:bookmarkStart w:id="39" w:name="_Toc28359018"/>
      <w:bookmarkStart w:id="40" w:name="_Toc28359095"/>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w:t>
      </w:r>
      <w:r>
        <w:rPr>
          <w:rFonts w:hint="eastAsia" w:ascii="宋体" w:hAnsi="宋体" w:eastAsia="宋体" w:cs="宋体"/>
          <w:b/>
          <w:bCs/>
          <w:sz w:val="24"/>
          <w:szCs w:val="24"/>
          <w:lang w:val="en-US" w:eastAsia="zh-CN"/>
        </w:rPr>
        <w:t>法定代表人持本人二代居民身份证原件和法定代表人身份证明（或授权委托代理人持本人二代居民身份证原件和法人授权委托书原件）</w:t>
      </w:r>
      <w:r>
        <w:rPr>
          <w:rFonts w:hint="eastAsia" w:ascii="宋体" w:hAnsi="宋体" w:eastAsia="宋体" w:cs="宋体"/>
          <w:sz w:val="24"/>
          <w:szCs w:val="24"/>
          <w:lang w:val="en-US" w:eastAsia="zh-CN"/>
        </w:rPr>
        <w:t>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8"/>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28359019"/>
      <w:bookmarkStart w:id="43" w:name="_Toc12167"/>
      <w:bookmarkStart w:id="44" w:name="_Toc35393806"/>
      <w:bookmarkStart w:id="45" w:name="_Toc28359096"/>
      <w:bookmarkStart w:id="46" w:name="_Toc35393637"/>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35393638"/>
      <w:bookmarkStart w:id="48" w:name="_Toc28359097"/>
      <w:bookmarkStart w:id="49" w:name="_Toc35393807"/>
      <w:bookmarkStart w:id="50" w:name="_Toc28359020"/>
      <w:r>
        <w:rPr>
          <w:rFonts w:hint="eastAsia" w:ascii="宋体" w:hAnsi="宋体" w:eastAsia="宋体" w:cs="宋体"/>
          <w:sz w:val="24"/>
          <w:szCs w:val="24"/>
          <w:lang w:val="en-US" w:eastAsia="zh-CN"/>
        </w:rPr>
        <w:t>名称：</w:t>
      </w:r>
      <w:r>
        <w:rPr>
          <w:rFonts w:hint="eastAsia" w:ascii="宋体" w:hAnsi="宋体" w:cs="宋体"/>
          <w:sz w:val="24"/>
          <w:szCs w:val="24"/>
          <w:lang w:val="en-US" w:eastAsia="zh-CN"/>
        </w:rPr>
        <w:t>霍山县衡山镇东城中心学校</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衡山镇</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联系电话：0564-3902889</w:t>
      </w:r>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35393639"/>
      <w:bookmarkStart w:id="52" w:name="_Toc35393808"/>
      <w:bookmarkStart w:id="53" w:name="_Toc28359098"/>
      <w:bookmarkStart w:id="54" w:name="_Toc28359021"/>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衡山镇</w:t>
      </w:r>
      <w:r>
        <w:rPr>
          <w:rFonts w:hint="eastAsia" w:ascii="宋体" w:hAnsi="宋体" w:eastAsia="宋体" w:cs="宋体"/>
          <w:sz w:val="24"/>
          <w:szCs w:val="24"/>
          <w:lang w:val="en-US" w:eastAsia="zh-CN"/>
        </w:rPr>
        <w:t>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highlight w:val="none"/>
          <w:lang w:val="en-US" w:eastAsia="zh-CN"/>
        </w:rPr>
      </w:pPr>
      <w:bookmarkStart w:id="109" w:name="_GoBack"/>
      <w:r>
        <w:rPr>
          <w:rFonts w:hint="eastAsia" w:ascii="宋体" w:hAnsi="宋体" w:eastAsia="宋体" w:cs="宋体"/>
          <w:sz w:val="24"/>
          <w:szCs w:val="24"/>
          <w:highlight w:val="none"/>
          <w:lang w:val="en-US" w:eastAsia="zh-CN"/>
        </w:rPr>
        <w:t>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年</w:t>
      </w:r>
      <w:r>
        <w:rPr>
          <w:rFonts w:hint="eastAsia" w:ascii="宋体" w:hAnsi="宋体" w:cs="宋体"/>
          <w:sz w:val="24"/>
          <w:szCs w:val="24"/>
          <w:highlight w:val="none"/>
          <w:lang w:val="en-US" w:eastAsia="zh-CN"/>
        </w:rPr>
        <w:t>07</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lang w:val="en-US" w:eastAsia="zh-CN"/>
        </w:rPr>
        <w:t>日</w:t>
      </w:r>
    </w:p>
    <w:p w14:paraId="18A212E6">
      <w:pPr>
        <w:rPr>
          <w:rFonts w:hint="eastAsia" w:ascii="宋体" w:hAnsi="宋体" w:eastAsia="宋体" w:cs="宋体"/>
          <w:sz w:val="28"/>
          <w:szCs w:val="28"/>
          <w:highlight w:val="none"/>
        </w:rPr>
      </w:pPr>
      <w:bookmarkStart w:id="55" w:name="_Toc18386"/>
      <w:r>
        <w:rPr>
          <w:rFonts w:hint="eastAsia" w:ascii="宋体" w:hAnsi="宋体" w:eastAsia="宋体" w:cs="宋体"/>
          <w:sz w:val="28"/>
          <w:szCs w:val="28"/>
          <w:highlight w:val="none"/>
        </w:rPr>
        <w:br w:type="page"/>
      </w:r>
    </w:p>
    <w:bookmarkEnd w:id="109"/>
    <w:p w14:paraId="74789A8D">
      <w:pPr>
        <w:pStyle w:val="8"/>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8"/>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216158627"/>
            <w:bookmarkStart w:id="59" w:name="_Toc36319926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霍山县衡山镇东城中心学校</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衡山镇东城中心学校教学楼楼地面维修工程</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HYZX-2025-0703</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highlight w:val="none"/>
                <w:lang w:val="en-US" w:eastAsia="zh-CN"/>
              </w:rPr>
            </w:pPr>
            <w:r>
              <w:rPr>
                <w:rFonts w:hint="eastAsia" w:ascii="宋体" w:hAnsi="宋体" w:cs="宋体"/>
                <w:b w:val="0"/>
                <w:bCs w:val="0"/>
                <w:color w:val="auto"/>
                <w:sz w:val="24"/>
                <w:szCs w:val="24"/>
                <w:highlight w:val="none"/>
                <w:lang w:val="en-US" w:eastAsia="zh-CN"/>
              </w:rPr>
              <w:t>本项目无预付款，工程竣工，经验收合格、结算审计定案后付至审计定案价的98%(若承包人采用银行保函、保证保险方式缴纳工程质量保证金的，此处在承包人提交结算价2%的质量保证金后支付至 100%)；余款 2%为质保金，在质保期满后支付余款。</w:t>
            </w:r>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rPr>
            </w:pPr>
            <w:r>
              <w:rPr>
                <w:rFonts w:hint="eastAsia"/>
                <w:b w:val="0"/>
                <w:bCs w:val="0"/>
                <w:color w:val="auto"/>
                <w:sz w:val="24"/>
                <w:szCs w:val="24"/>
                <w:lang w:val="en-US" w:eastAsia="zh-CN"/>
              </w:rPr>
              <w:t>20日历天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7AF9F17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cs="宋体"/>
                <w:color w:val="auto"/>
                <w:szCs w:val="24"/>
                <w:highlight w:val="none"/>
                <w:lang w:eastAsia="zh-CN"/>
              </w:rPr>
            </w:pPr>
            <w:r>
              <w:rPr>
                <w:rFonts w:hint="eastAsia" w:ascii="宋体" w:hAnsi="宋体" w:cs="宋体"/>
                <w:color w:val="auto"/>
                <w:szCs w:val="24"/>
                <w:highlight w:val="none"/>
                <w:lang w:eastAsia="zh-CN"/>
              </w:rPr>
              <w:t>本项目不要求。</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680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6668B94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784" w:type="dxa"/>
            <w:vAlign w:val="center"/>
          </w:tcPr>
          <w:p w14:paraId="774347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14:paraId="2AC822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w:t>
            </w:r>
            <w:r>
              <w:rPr>
                <w:rFonts w:hint="eastAsia" w:ascii="宋体" w:hAnsi="宋体"/>
                <w:bCs/>
                <w:kern w:val="2"/>
                <w:szCs w:val="24"/>
                <w:lang w:eastAsia="zh-CN"/>
              </w:rPr>
              <w:t>二级建造师电子注册证书的评审应按</w:t>
            </w:r>
            <w:r>
              <w:rPr>
                <w:rFonts w:hint="eastAsia" w:ascii="宋体" w:hAnsi="宋体"/>
                <w:bCs/>
                <w:kern w:val="2"/>
                <w:szCs w:val="24"/>
                <w:lang w:val="en-US" w:eastAsia="zh-CN"/>
              </w:rPr>
              <w:t>《全国一体化在线政务服务平台电子证照二级建造师注册证书》标准执行，</w:t>
            </w:r>
            <w:r>
              <w:rPr>
                <w:rFonts w:hint="eastAsia" w:ascii="宋体" w:hAnsi="宋体"/>
                <w:bCs/>
                <w:kern w:val="2"/>
                <w:szCs w:val="24"/>
              </w:rPr>
              <w:t>建造师打印电子证书后，应在个人签名处手写本人签名，未手写签名或与签名图像笔迹不一致的，该电子证书无效。</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11872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2</w:t>
            </w:r>
            <w:r>
              <w:rPr>
                <w:rFonts w:ascii="宋体" w:hAnsi="宋体" w:eastAsia="宋体" w:cs="宋体"/>
                <w:sz w:val="21"/>
                <w:szCs w:val="21"/>
              </w:rPr>
              <w:t>、</w:t>
            </w:r>
            <w:r>
              <w:rPr>
                <w:rFonts w:hint="eastAsia" w:ascii="宋体" w:hAnsi="宋体" w:eastAsia="宋体" w:cs="宋体"/>
                <w:sz w:val="21"/>
                <w:szCs w:val="21"/>
              </w:rPr>
              <w:t>供应商除配备1名项目经理外，还须配备技术负责人1名、施工员1名、安全员1名、质量员1名，响应文件中须载明上述人员，项目技术负责人应具有</w:t>
            </w:r>
            <w:r>
              <w:rPr>
                <w:rFonts w:hint="eastAsia" w:ascii="宋体" w:hAnsi="宋体" w:cs="宋体"/>
                <w:b/>
                <w:bCs/>
                <w:sz w:val="21"/>
                <w:szCs w:val="21"/>
                <w:lang w:val="en-US" w:eastAsia="zh-CN"/>
              </w:rPr>
              <w:t>建筑工程</w:t>
            </w:r>
            <w:r>
              <w:rPr>
                <w:rFonts w:hint="eastAsia" w:ascii="宋体" w:hAnsi="宋体" w:eastAsia="宋体" w:cs="宋体"/>
                <w:sz w:val="21"/>
                <w:szCs w:val="21"/>
              </w:rPr>
              <w:t>相关专业的中级及以上职称，专业不配套按不实质性响应谈判文件要求处理</w:t>
            </w:r>
            <w:r>
              <w:rPr>
                <w:rFonts w:hint="eastAsia" w:ascii="宋体" w:hAnsi="宋体" w:eastAsia="宋体" w:cs="宋体"/>
                <w:sz w:val="24"/>
                <w:szCs w:val="24"/>
              </w:rPr>
              <w:t>（需提供技术负责人职称证书）；无需提供施工员、安全员、质量员岗位证书，后期在项目实施过程中需遵守主管部门的相关要求。</w:t>
            </w:r>
            <w:r>
              <w:rPr>
                <w:rFonts w:hint="eastAsia" w:ascii="宋体" w:hAnsi="宋体" w:eastAsia="宋体" w:cs="宋体"/>
                <w:sz w:val="24"/>
                <w:szCs w:val="24"/>
                <w:lang w:val="en-US" w:eastAsia="zh-CN"/>
              </w:rPr>
              <w:t>若人员配备结构、人数和证明材料不符合上述要求，按不实质性响应谈判文件要求处理。</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14:paraId="2169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77B5D43B">
            <w:pPr>
              <w:pStyle w:val="100"/>
              <w:pageBreakBefore w:val="0"/>
              <w:pBdr>
                <w:bottom w:val="none" w:color="auto" w:sz="0" w:space="0"/>
              </w:pBdr>
              <w:tabs>
                <w:tab w:val="clear" w:pos="4153"/>
                <w:tab w:val="clear" w:pos="8306"/>
              </w:tabs>
              <w:kinsoku/>
              <w:wordWrap/>
              <w:overflowPunct/>
              <w:topLinePunct w:val="0"/>
              <w:autoSpaceDE/>
              <w:autoSpaceDN/>
              <w:bidi w:val="0"/>
              <w:adjustRightInd/>
              <w:spacing w:line="480" w:lineRule="exact"/>
              <w:textAlignment w:val="auto"/>
              <w:rPr>
                <w:rFonts w:hint="eastAsia" w:ascii="宋体" w:hAnsi="宋体"/>
                <w:b/>
                <w:kern w:val="2"/>
                <w:szCs w:val="24"/>
                <w:lang w:val="en-US"/>
              </w:rPr>
            </w:pPr>
            <w:r>
              <w:rPr>
                <w:rFonts w:hint="eastAsia" w:ascii="宋体" w:hAnsi="宋体"/>
                <w:b/>
                <w:kern w:val="2"/>
                <w:szCs w:val="24"/>
                <w:highlight w:val="none"/>
                <w:lang w:val="en-US" w:eastAsia="zh-CN"/>
              </w:rPr>
              <w:t>23</w:t>
            </w:r>
          </w:p>
        </w:tc>
        <w:tc>
          <w:tcPr>
            <w:tcW w:w="1784" w:type="dxa"/>
            <w:vAlign w:val="center"/>
          </w:tcPr>
          <w:p w14:paraId="687820F5">
            <w:pPr>
              <w:pStyle w:val="100"/>
              <w:pageBreakBefore w:val="0"/>
              <w:pBdr>
                <w:bottom w:val="none" w:color="auto" w:sz="0" w:space="0"/>
              </w:pBdr>
              <w:tabs>
                <w:tab w:val="clear" w:pos="4153"/>
                <w:tab w:val="clear" w:pos="8306"/>
              </w:tabs>
              <w:kinsoku/>
              <w:wordWrap/>
              <w:overflowPunct/>
              <w:topLinePunct w:val="0"/>
              <w:autoSpaceDE/>
              <w:autoSpaceDN/>
              <w:bidi w:val="0"/>
              <w:adjustRightInd/>
              <w:spacing w:line="480" w:lineRule="exact"/>
              <w:jc w:val="left"/>
              <w:textAlignment w:val="auto"/>
              <w:rPr>
                <w:rFonts w:hint="eastAsia" w:ascii="宋体" w:hAnsi="宋体"/>
                <w:bCs/>
                <w:kern w:val="2"/>
                <w:szCs w:val="24"/>
                <w:lang w:val="en-US"/>
              </w:rPr>
            </w:pPr>
            <w:r>
              <w:rPr>
                <w:rFonts w:hint="eastAsia" w:ascii="宋体" w:hAnsi="宋体" w:cs="宋体"/>
                <w:color w:val="FF0000"/>
                <w:sz w:val="24"/>
                <w:szCs w:val="24"/>
                <w:highlight w:val="none"/>
                <w:lang w:eastAsia="zh-CN"/>
              </w:rPr>
              <w:t>“双随机”抽取系数操作规程</w:t>
            </w:r>
          </w:p>
        </w:tc>
        <w:tc>
          <w:tcPr>
            <w:tcW w:w="7227" w:type="dxa"/>
            <w:vAlign w:val="center"/>
          </w:tcPr>
          <w:p w14:paraId="4A5646D7">
            <w:pPr>
              <w:pStyle w:val="100"/>
              <w:pageBreakBefore w:val="0"/>
              <w:pBdr>
                <w:bottom w:val="none" w:color="auto" w:sz="0" w:space="0"/>
              </w:pBdr>
              <w:tabs>
                <w:tab w:val="clear" w:pos="4153"/>
                <w:tab w:val="clear" w:pos="8306"/>
              </w:tabs>
              <w:kinsoku/>
              <w:wordWrap/>
              <w:overflowPunct/>
              <w:topLinePunct w:val="0"/>
              <w:autoSpaceDE/>
              <w:autoSpaceDN/>
              <w:bidi w:val="0"/>
              <w:adjustRightInd/>
              <w:spacing w:line="480" w:lineRule="exact"/>
              <w:ind w:firstLine="480" w:firstLineChars="200"/>
              <w:jc w:val="both"/>
              <w:textAlignment w:val="auto"/>
              <w:rPr>
                <w:rFonts w:hint="eastAsia" w:ascii="宋体" w:hAnsi="宋体" w:cs="宋体"/>
                <w:color w:val="FF0000"/>
                <w:sz w:val="24"/>
                <w:szCs w:val="24"/>
                <w:highlight w:val="none"/>
                <w:lang w:val="en-US" w:eastAsia="zh-CN"/>
              </w:rPr>
            </w:pPr>
            <w:r>
              <w:rPr>
                <w:rFonts w:hint="eastAsia" w:ascii="宋体" w:hAnsi="宋体" w:cs="宋体"/>
                <w:color w:val="FF0000"/>
                <w:sz w:val="24"/>
                <w:szCs w:val="24"/>
                <w:highlight w:val="none"/>
                <w:lang w:eastAsia="zh-CN"/>
              </w:rPr>
              <w:t>“双随机”抽取系数操作规程统一如下：分两个环节，（</w:t>
            </w:r>
            <w:r>
              <w:rPr>
                <w:rFonts w:hint="eastAsia" w:ascii="宋体" w:hAnsi="宋体" w:cs="宋体"/>
                <w:color w:val="FF0000"/>
                <w:sz w:val="24"/>
                <w:szCs w:val="24"/>
                <w:highlight w:val="none"/>
                <w:lang w:val="en-US" w:eastAsia="zh-CN"/>
              </w:rPr>
              <w:t>1</w:t>
            </w:r>
            <w:r>
              <w:rPr>
                <w:rFonts w:hint="eastAsia" w:ascii="宋体" w:hAnsi="宋体" w:cs="宋体"/>
                <w:color w:val="FF0000"/>
                <w:sz w:val="24"/>
                <w:szCs w:val="24"/>
                <w:highlight w:val="none"/>
                <w:lang w:eastAsia="zh-CN"/>
              </w:rPr>
              <w:t>）在监督人员监督下，招标代理工作人员先检查摇号机状态，确认摇号机工作状态正常后，向摇号机中随机放入</w:t>
            </w:r>
            <w:r>
              <w:rPr>
                <w:rFonts w:hint="eastAsia" w:ascii="宋体" w:hAnsi="宋体" w:cs="宋体"/>
                <w:color w:val="FF0000"/>
                <w:sz w:val="24"/>
                <w:szCs w:val="24"/>
                <w:highlight w:val="none"/>
                <w:lang w:val="en-US" w:eastAsia="zh-CN"/>
              </w:rPr>
              <w:t>14个号码球（号码球无需连号），由采购人代表分7次按压抽取按钮，分别摇出7个号码球，摇出的7个号码球按出球先后顺序，分别对应</w:t>
            </w:r>
            <w:r>
              <w:rPr>
                <w:rFonts w:ascii="宋体" w:hAnsi="宋体" w:cs="宋体"/>
                <w:color w:val="FF0000"/>
                <w:sz w:val="24"/>
                <w:szCs w:val="24"/>
                <w:highlight w:val="none"/>
              </w:rPr>
              <w:t>92%，93%，94%，95%、96%、97%、98%</w:t>
            </w:r>
            <w:r>
              <w:rPr>
                <w:rFonts w:hint="eastAsia" w:ascii="宋体" w:hAnsi="宋体" w:cs="宋体"/>
                <w:color w:val="FF0000"/>
                <w:sz w:val="24"/>
                <w:szCs w:val="24"/>
                <w:highlight w:val="none"/>
                <w:lang w:eastAsia="zh-CN"/>
              </w:rPr>
              <w:t>共</w:t>
            </w:r>
            <w:r>
              <w:rPr>
                <w:rFonts w:hint="eastAsia" w:ascii="宋体" w:hAnsi="宋体" w:cs="宋体"/>
                <w:color w:val="FF0000"/>
                <w:sz w:val="24"/>
                <w:szCs w:val="24"/>
                <w:highlight w:val="none"/>
                <w:lang w:val="en-US" w:eastAsia="zh-CN"/>
              </w:rPr>
              <w:t>7个系数：（2）招标代理工作人员清空摇号机后，再将上述摇出的7个号码球依次放入摇号机中，再由采购人代表从中摇出一个号码球，摇出的这个号码球对应的系数，即为本项目的抽中系数。</w:t>
            </w:r>
          </w:p>
          <w:p w14:paraId="769D8381">
            <w:pPr>
              <w:pStyle w:val="100"/>
              <w:pageBreakBefore w:val="0"/>
              <w:pBdr>
                <w:bottom w:val="none" w:color="auto" w:sz="0" w:space="0"/>
              </w:pBdr>
              <w:tabs>
                <w:tab w:val="clear" w:pos="4153"/>
                <w:tab w:val="clear" w:pos="8306"/>
              </w:tabs>
              <w:kinsoku/>
              <w:wordWrap/>
              <w:overflowPunct/>
              <w:topLinePunct w:val="0"/>
              <w:autoSpaceDE/>
              <w:autoSpaceDN/>
              <w:bidi w:val="0"/>
              <w:adjustRightInd/>
              <w:spacing w:line="480" w:lineRule="exact"/>
              <w:jc w:val="both"/>
              <w:textAlignment w:val="auto"/>
              <w:rPr>
                <w:rFonts w:ascii="宋体" w:hAnsi="宋体" w:eastAsia="宋体" w:cs="宋体"/>
                <w:color w:val="auto"/>
                <w:sz w:val="24"/>
                <w:szCs w:val="24"/>
              </w:rPr>
            </w:pPr>
            <w:r>
              <w:rPr>
                <w:rFonts w:hint="eastAsia" w:ascii="宋体" w:hAnsi="宋体" w:cs="宋体"/>
                <w:color w:val="FF0000"/>
                <w:sz w:val="24"/>
                <w:szCs w:val="24"/>
                <w:highlight w:val="none"/>
                <w:lang w:val="en-US" w:eastAsia="zh-CN"/>
              </w:rPr>
              <w:t>（3）抽取工作相关要求。一是除遇设备或网络故障外，招标代理机构应保证整个抽取过程通过现场向所有供应商开放，保证抽取工作公开透明；二是招标代理机构要将上述抽取过程简要情况（特别是依次摇出的7个号码球球号分别是多少？最终摇中的号码球球号及对应系数同步实时公布）在现场实时同步公布，如遇系统故障，无法实时公布，应报现场监督人员确认并记录在案备查；三是上述系数抽取过程，招标代理应制作抽取结果记录表，由采购人代表、监督人员、招标代理工作人员三方签字确认；四是除摇号机突遇故障无法继续使用并报现场监督人员和管理人员检查确认外，同一个项目整个摇号抽取过程中应使用同一台摇号机，中途不得更换。五是除遇设备或网络故障外，招标代理机构原则上应在最终报价结束时间截止后半小时内组织完成系数抽取工作，并向所有供应商公布抽取结果；六是如有招标人或招标代理机构未按上述统一规程要求开展“双随机”抽取系数，经监督部门调查确认属实的，抽取结果及依据此抽取结果进一步作出的评审结论一律无效，监督部门将视情作出重新组织抽取或项目重新组织采购的处理决定，并对相关违规人员予以处理。</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24</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8"/>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2"/>
        <w:pageBreakBefore w:val="0"/>
        <w:widowControl w:val="0"/>
        <w:kinsoku/>
        <w:wordWrap/>
        <w:overflowPunct/>
        <w:topLinePunct w:val="0"/>
        <w:autoSpaceDE/>
        <w:autoSpaceDN/>
        <w:bidi w:val="0"/>
        <w:snapToGrid/>
        <w:spacing w:after="0" w:line="500" w:lineRule="exact"/>
        <w:ind w:firstLine="480" w:firstLineChars="200"/>
        <w:jc w:val="center"/>
      </w:pPr>
      <w:bookmarkStart w:id="61" w:name="_Toc438648662"/>
      <w:bookmarkStart w:id="62" w:name="_Toc216158625"/>
      <w:bookmarkStart w:id="63" w:name="_Toc363199266"/>
      <w:r>
        <w:rPr>
          <w:rFonts w:hint="eastAsia"/>
        </w:rPr>
        <w:t>见本项目采购公告</w:t>
      </w:r>
    </w:p>
    <w:p w14:paraId="4317B207">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w:t>
      </w:r>
      <w:r>
        <w:rPr>
          <w:rFonts w:hint="eastAsia" w:ascii="宋体" w:hAnsi="宋体"/>
          <w:b/>
          <w:bCs/>
          <w:sz w:val="24"/>
          <w:szCs w:val="24"/>
          <w:lang w:eastAsia="zh-CN"/>
        </w:rPr>
        <w:t>的</w:t>
      </w:r>
      <w:r>
        <w:rPr>
          <w:rFonts w:hint="eastAsia" w:ascii="宋体" w:hAnsi="宋体"/>
          <w:b/>
          <w:bCs/>
          <w:sz w:val="24"/>
          <w:szCs w:val="24"/>
        </w:rPr>
        <w:t>项目经理</w:t>
      </w:r>
      <w:r>
        <w:rPr>
          <w:rFonts w:hint="eastAsia" w:ascii="宋体" w:hAnsi="宋体"/>
          <w:b/>
          <w:bCs/>
          <w:sz w:val="24"/>
          <w:szCs w:val="24"/>
          <w:lang w:eastAsia="zh-CN"/>
        </w:rPr>
        <w:t>（建造师）、技术负责人、施工员、安全员、质量员</w:t>
      </w:r>
      <w:r>
        <w:rPr>
          <w:rFonts w:hint="eastAsia" w:ascii="宋体" w:hAnsi="宋体"/>
          <w:b/>
          <w:bCs/>
          <w:sz w:val="24"/>
          <w:szCs w:val="24"/>
        </w:rPr>
        <w:t>符合采购文件规定；（4）供应商响应报价中清单内容与发布的工程量清单保持一致，未进行实质性修改和删减；（5）供应商工程量清单中的暂列金额与暂估价与采购人公布的一致；（6）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393D2321">
      <w:pPr>
        <w:keepNext w:val="0"/>
        <w:keepLines w:val="0"/>
        <w:pageBreakBefore w:val="0"/>
        <w:tabs>
          <w:tab w:val="left" w:pos="900"/>
        </w:tabs>
        <w:kinsoku/>
        <w:wordWrap/>
        <w:overflowPunct/>
        <w:topLinePunct w:val="0"/>
        <w:autoSpaceDE/>
        <w:autoSpaceDN/>
        <w:bidi w:val="0"/>
        <w:adjustRightInd/>
        <w:snapToGrid/>
        <w:spacing w:line="480" w:lineRule="exact"/>
        <w:ind w:left="480" w:leftChars="0" w:hanging="480" w:hanging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谈判小组按以下步骤对各供应商最终报价依序进行评审：</w:t>
      </w:r>
    </w:p>
    <w:p w14:paraId="73927A3E">
      <w:pPr>
        <w:keepNext w:val="0"/>
        <w:keepLines w:val="0"/>
        <w:pageBreakBefore w:val="0"/>
        <w:tabs>
          <w:tab w:val="left" w:pos="900"/>
        </w:tabs>
        <w:kinsoku/>
        <w:wordWrap/>
        <w:overflowPunct/>
        <w:topLinePunct w:val="0"/>
        <w:autoSpaceDE/>
        <w:autoSpaceDN/>
        <w:bidi w:val="0"/>
        <w:adjustRightInd/>
        <w:snapToGrid/>
        <w:spacing w:line="480" w:lineRule="exact"/>
        <w:ind w:firstLine="240" w:firstLineChars="100"/>
        <w:jc w:val="both"/>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第一步，认定有效报价。各供应商的所有报价不得超过最高限价，且最终报价不得</w:t>
      </w:r>
    </w:p>
    <w:p w14:paraId="1179F43A">
      <w:pPr>
        <w:keepNext w:val="0"/>
        <w:keepLines w:val="0"/>
        <w:pageBreakBefore w:val="0"/>
        <w:tabs>
          <w:tab w:val="left" w:pos="900"/>
        </w:tabs>
        <w:kinsoku/>
        <w:wordWrap/>
        <w:overflowPunct/>
        <w:topLinePunct w:val="0"/>
        <w:autoSpaceDE/>
        <w:autoSpaceDN/>
        <w:bidi w:val="0"/>
        <w:adjustRightInd/>
        <w:snapToGrid/>
        <w:spacing w:line="480" w:lineRule="exact"/>
        <w:ind w:left="480" w:leftChars="0" w:hanging="480" w:hangingChars="200"/>
        <w:jc w:val="both"/>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高</w:t>
      </w:r>
      <w:r>
        <w:rPr>
          <w:rFonts w:ascii="宋体" w:hAnsi="宋体" w:eastAsia="宋体" w:cs="宋体"/>
          <w:color w:val="auto"/>
          <w:sz w:val="24"/>
          <w:szCs w:val="24"/>
          <w:highlight w:val="none"/>
        </w:rPr>
        <w:t>上一轮报价，否则报价无效；</w:t>
      </w:r>
    </w:p>
    <w:p w14:paraId="034DB884">
      <w:pPr>
        <w:keepNext w:val="0"/>
        <w:keepLines w:val="0"/>
        <w:pageBreakBefore w:val="0"/>
        <w:tabs>
          <w:tab w:val="left" w:pos="900"/>
        </w:tabs>
        <w:kinsoku/>
        <w:wordWrap/>
        <w:overflowPunct/>
        <w:topLinePunct w:val="0"/>
        <w:autoSpaceDE/>
        <w:autoSpaceDN/>
        <w:bidi w:val="0"/>
        <w:adjustRightInd/>
        <w:snapToGrid/>
        <w:spacing w:line="480" w:lineRule="exact"/>
        <w:ind w:left="479" w:leftChars="114" w:hanging="240" w:hangingChars="100"/>
        <w:jc w:val="both"/>
        <w:textAlignment w:val="auto"/>
        <w:rPr>
          <w:rFonts w:ascii="Times New Roman" w:hAnsi="Times New Roman" w:eastAsia="宋体" w:cs="Times New Roman"/>
          <w:highlight w:val="none"/>
        </w:rPr>
      </w:pPr>
      <w:r>
        <w:rPr>
          <w:rFonts w:hint="eastAsia" w:ascii="宋体" w:hAnsi="宋体" w:eastAsia="宋体" w:cs="宋体"/>
          <w:color w:val="FF0000"/>
          <w:kern w:val="0"/>
          <w:sz w:val="24"/>
          <w:szCs w:val="24"/>
          <w:highlight w:val="none"/>
          <w:lang w:val="en-US" w:eastAsia="zh-CN" w:bidi="ar"/>
        </w:rPr>
        <w:t xml:space="preserve">第二步，认定低于成本价的投标报价。供应商最终报价是否低于成本价，按如下规 </w:t>
      </w:r>
    </w:p>
    <w:p w14:paraId="00958082">
      <w:pPr>
        <w:keepNext w:val="0"/>
        <w:keepLines w:val="0"/>
        <w:pageBreakBefore w:val="0"/>
        <w:widowControl/>
        <w:suppressLineNumbers w:val="0"/>
        <w:kinsoku/>
        <w:wordWrap/>
        <w:overflowPunct/>
        <w:topLinePunct w:val="0"/>
        <w:autoSpaceDE/>
        <w:autoSpaceDN/>
        <w:bidi w:val="0"/>
        <w:adjustRightInd/>
        <w:snapToGrid/>
        <w:spacing w:line="480" w:lineRule="exact"/>
        <w:ind w:left="0" w:leftChars="0"/>
        <w:jc w:val="left"/>
        <w:textAlignment w:val="auto"/>
        <w:rPr>
          <w:rFonts w:ascii="Times New Roman" w:hAnsi="Times New Roman" w:eastAsia="宋体" w:cs="Times New Roman"/>
          <w:highlight w:val="none"/>
        </w:rPr>
      </w:pPr>
      <w:r>
        <w:rPr>
          <w:rFonts w:hint="eastAsia" w:ascii="宋体" w:hAnsi="宋体" w:eastAsia="宋体" w:cs="宋体"/>
          <w:color w:val="FF0000"/>
          <w:kern w:val="0"/>
          <w:sz w:val="24"/>
          <w:szCs w:val="24"/>
          <w:highlight w:val="none"/>
          <w:lang w:val="en-US" w:eastAsia="zh-CN" w:bidi="ar"/>
        </w:rPr>
        <w:t>则进行判定：供应商最终报价提交完毕后，由</w:t>
      </w:r>
      <w:r>
        <w:rPr>
          <w:rFonts w:hint="eastAsia" w:ascii="宋体" w:hAnsi="宋体" w:eastAsia="宋体" w:cs="宋体"/>
          <w:b/>
          <w:bCs/>
          <w:color w:val="FF0000"/>
          <w:kern w:val="0"/>
          <w:sz w:val="24"/>
          <w:szCs w:val="24"/>
          <w:highlight w:val="none"/>
          <w:lang w:val="en-US" w:eastAsia="zh-CN" w:bidi="ar"/>
        </w:rPr>
        <w:t>采购人代表</w:t>
      </w:r>
      <w:r>
        <w:rPr>
          <w:rFonts w:hint="eastAsia" w:ascii="宋体" w:hAnsi="宋体" w:eastAsia="宋体" w:cs="宋体"/>
          <w:color w:val="FF0000"/>
          <w:kern w:val="0"/>
          <w:sz w:val="24"/>
          <w:szCs w:val="24"/>
          <w:highlight w:val="none"/>
          <w:lang w:val="en-US" w:eastAsia="zh-CN" w:bidi="ar"/>
        </w:rPr>
        <w:t>在监督人员监督下，在开标现场采用</w:t>
      </w:r>
      <w:r>
        <w:rPr>
          <w:rFonts w:hint="eastAsia" w:ascii="宋体" w:hAnsi="宋体" w:eastAsia="宋体" w:cs="宋体"/>
          <w:b/>
          <w:bCs/>
          <w:color w:val="FF0000"/>
          <w:kern w:val="0"/>
          <w:sz w:val="24"/>
          <w:szCs w:val="24"/>
          <w:highlight w:val="none"/>
          <w:lang w:val="en-US" w:eastAsia="zh-CN" w:bidi="ar"/>
        </w:rPr>
        <w:t>“双随机”方法抽取系数</w:t>
      </w:r>
      <w:r>
        <w:rPr>
          <w:rFonts w:hint="eastAsia" w:ascii="宋体" w:hAnsi="宋体" w:eastAsia="宋体" w:cs="宋体"/>
          <w:color w:val="FF0000"/>
          <w:kern w:val="0"/>
          <w:sz w:val="24"/>
          <w:szCs w:val="24"/>
          <w:highlight w:val="none"/>
          <w:lang w:val="en-US" w:eastAsia="zh-CN" w:bidi="ar"/>
        </w:rPr>
        <w:t>（系数值共 7 个，分别为：92%，93%，94%，95%、96%、97%、98%）。凡供应商最终报价低于所有有效的供应商最终报价算术平均数与抽中系数的乘积的（计算结果保留两位小数），均按低于成本价判定，该供应商报价按无效报价处理，不再进行后续评审，不得被推荐为成交供应商。</w:t>
      </w:r>
    </w:p>
    <w:p w14:paraId="06352E8B">
      <w:pPr>
        <w:keepNext w:val="0"/>
        <w:keepLines w:val="0"/>
        <w:pageBreakBefore w:val="0"/>
        <w:widowControl w:val="0"/>
        <w:pBdr>
          <w:bottom w:val="none" w:color="auto" w:sz="0" w:space="0"/>
        </w:pBd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宋体" w:hAnsi="宋体" w:eastAsia="宋体" w:cs="宋体"/>
          <w:color w:val="FF0000"/>
          <w:kern w:val="0"/>
          <w:sz w:val="24"/>
          <w:szCs w:val="24"/>
          <w:highlight w:val="none"/>
          <w:lang w:val="zh-CN" w:eastAsia="zh-CN" w:bidi="ar-SA"/>
        </w:rPr>
      </w:pPr>
      <w:r>
        <w:rPr>
          <w:rFonts w:hint="eastAsia" w:ascii="宋体" w:hAnsi="宋体" w:eastAsia="宋体" w:cs="宋体"/>
          <w:color w:val="FF0000"/>
          <w:kern w:val="0"/>
          <w:sz w:val="24"/>
          <w:szCs w:val="24"/>
          <w:highlight w:val="none"/>
          <w:lang w:val="zh-CN" w:eastAsia="zh-CN" w:bidi="ar-SA"/>
        </w:rPr>
        <w:t>“双随机”抽取系数操作规程统一如下：分两个环节，</w:t>
      </w:r>
    </w:p>
    <w:p w14:paraId="71FA618F">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宋体" w:hAnsi="宋体" w:eastAsia="宋体" w:cs="宋体"/>
          <w:color w:val="FF0000"/>
          <w:kern w:val="0"/>
          <w:sz w:val="24"/>
          <w:szCs w:val="24"/>
          <w:highlight w:val="none"/>
          <w:lang w:val="en-US" w:eastAsia="zh-CN" w:bidi="ar-SA"/>
        </w:rPr>
      </w:pPr>
      <w:r>
        <w:rPr>
          <w:rFonts w:hint="eastAsia" w:ascii="宋体" w:hAnsi="宋体" w:eastAsia="宋体" w:cs="宋体"/>
          <w:color w:val="FF0000"/>
          <w:kern w:val="0"/>
          <w:sz w:val="24"/>
          <w:szCs w:val="24"/>
          <w:lang w:val="en-US" w:eastAsia="zh-CN" w:bidi="ar-SA"/>
        </w:rPr>
        <w:t>（1）</w:t>
      </w:r>
      <w:r>
        <w:rPr>
          <w:rFonts w:hint="eastAsia" w:ascii="宋体" w:hAnsi="宋体" w:eastAsia="宋体" w:cs="宋体"/>
          <w:color w:val="FF0000"/>
          <w:kern w:val="0"/>
          <w:sz w:val="24"/>
          <w:szCs w:val="24"/>
          <w:highlight w:val="none"/>
          <w:lang w:val="zh-CN" w:eastAsia="zh-CN" w:bidi="ar-SA"/>
        </w:rPr>
        <w:t>在监督人员监督下，招标代理工作人员先检查摇号机状态，确认摇号机工作状态正常后，向摇号机中随机放入</w:t>
      </w:r>
      <w:r>
        <w:rPr>
          <w:rFonts w:hint="eastAsia" w:ascii="宋体" w:hAnsi="宋体" w:eastAsia="宋体" w:cs="宋体"/>
          <w:color w:val="FF0000"/>
          <w:kern w:val="0"/>
          <w:sz w:val="24"/>
          <w:szCs w:val="24"/>
          <w:highlight w:val="none"/>
          <w:lang w:val="en-US" w:eastAsia="zh-CN" w:bidi="ar-SA"/>
        </w:rPr>
        <w:t>14个号码球（号码球无需连号），由采购人代表分7次按压抽取按钮，分别摇出7个号码球，摇出的7个号码球按出球先后顺序，分别对应</w:t>
      </w:r>
      <w:r>
        <w:rPr>
          <w:rFonts w:ascii="宋体" w:hAnsi="宋体" w:eastAsia="宋体" w:cs="宋体"/>
          <w:color w:val="FF0000"/>
          <w:kern w:val="0"/>
          <w:sz w:val="24"/>
          <w:szCs w:val="24"/>
          <w:highlight w:val="none"/>
          <w:lang w:val="zh-CN" w:eastAsia="zh-CN" w:bidi="ar-SA"/>
        </w:rPr>
        <w:t>92%，93%，94%，95%、96%、97%、98%</w:t>
      </w:r>
      <w:r>
        <w:rPr>
          <w:rFonts w:hint="eastAsia" w:ascii="宋体" w:hAnsi="宋体" w:eastAsia="宋体" w:cs="宋体"/>
          <w:color w:val="FF0000"/>
          <w:kern w:val="0"/>
          <w:sz w:val="24"/>
          <w:szCs w:val="24"/>
          <w:highlight w:val="none"/>
          <w:lang w:val="zh-CN" w:eastAsia="zh-CN" w:bidi="ar-SA"/>
        </w:rPr>
        <w:t>共</w:t>
      </w:r>
      <w:r>
        <w:rPr>
          <w:rFonts w:hint="eastAsia" w:ascii="宋体" w:hAnsi="宋体" w:eastAsia="宋体" w:cs="宋体"/>
          <w:color w:val="FF0000"/>
          <w:kern w:val="0"/>
          <w:sz w:val="24"/>
          <w:szCs w:val="24"/>
          <w:highlight w:val="none"/>
          <w:lang w:val="en-US" w:eastAsia="zh-CN" w:bidi="ar-SA"/>
        </w:rPr>
        <w:t>7个系数：</w:t>
      </w:r>
    </w:p>
    <w:p w14:paraId="4EA2D5F3">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宋体" w:hAnsi="宋体" w:eastAsia="宋体" w:cs="宋体"/>
          <w:color w:val="FF0000"/>
          <w:kern w:val="0"/>
          <w:sz w:val="24"/>
          <w:szCs w:val="24"/>
          <w:highlight w:val="none"/>
          <w:lang w:val="en-US" w:eastAsia="zh-CN" w:bidi="ar-SA"/>
        </w:rPr>
      </w:pPr>
      <w:r>
        <w:rPr>
          <w:rFonts w:hint="eastAsia" w:ascii="宋体" w:hAnsi="宋体" w:eastAsia="宋体" w:cs="宋体"/>
          <w:color w:val="FF0000"/>
          <w:kern w:val="0"/>
          <w:sz w:val="24"/>
          <w:szCs w:val="24"/>
          <w:lang w:val="en-US" w:eastAsia="zh-CN" w:bidi="ar-SA"/>
        </w:rPr>
        <w:t>（2）</w:t>
      </w:r>
      <w:r>
        <w:rPr>
          <w:rFonts w:hint="eastAsia" w:ascii="宋体" w:hAnsi="宋体" w:eastAsia="宋体" w:cs="宋体"/>
          <w:color w:val="FF0000"/>
          <w:kern w:val="0"/>
          <w:sz w:val="24"/>
          <w:szCs w:val="24"/>
          <w:highlight w:val="none"/>
          <w:lang w:val="en-US" w:eastAsia="zh-CN" w:bidi="ar-SA"/>
        </w:rPr>
        <w:t>招标代理工作人员清空摇号机后，再将上述摇出的7个号码球依次放入摇号机中，再由采购人代表从中摇出一个号码球，摇出的这个号码球对应的系数，即为本项目的抽中系数。</w:t>
      </w:r>
    </w:p>
    <w:p w14:paraId="0FBB28BB">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宋体" w:hAnsi="宋体" w:eastAsia="宋体" w:cs="宋体"/>
          <w:color w:val="FF0000"/>
          <w:kern w:val="0"/>
          <w:sz w:val="24"/>
          <w:szCs w:val="24"/>
          <w:highlight w:val="none"/>
          <w:lang w:val="en-US" w:eastAsia="zh-CN" w:bidi="ar-SA"/>
        </w:rPr>
      </w:pPr>
      <w:r>
        <w:rPr>
          <w:rFonts w:hint="eastAsia" w:ascii="宋体" w:hAnsi="宋体" w:eastAsia="宋体" w:cs="宋体"/>
          <w:color w:val="FF0000"/>
          <w:kern w:val="0"/>
          <w:sz w:val="24"/>
          <w:szCs w:val="24"/>
          <w:lang w:val="en-US" w:eastAsia="zh-CN" w:bidi="ar-SA"/>
        </w:rPr>
        <w:t>（3）抽取工作相关要求。一是除遇设备或网络故障外，招标代理机构应保证整个抽取过程通过现场向所有供应商开放，保证抽取工作公开透明；二是招标代理机构要将上述抽取过程简要情况（特别是依次摇出的7个号码球球号分别是多少？最终摇中的号码球球号及对应系数同步实时公布）在现场实时同步公布，如遇系统故障，无法实时公布，应报现场监督人员确认并记录在案备查；三是上述系数抽取过程，招标代理应制作抽取结果记录表，由采购人代表、监督人员、招标代理工作人员三方签字确认；四是除摇号机突遇故障无法继续使用并报现场监督人员和管理人员检查确认外，同一个项目整个摇号抽取过程中应使用同一台摇号机，中途不得更换。五是除遇设备或网络故障外，招标代理机构原则上应在最终报价结束时间截止后半小时内组织完成系数抽取工作，并向所有供应商公布抽取结果；六是如有招标人或招标代理机构未按上述统一规程要求开展“双随机”抽取系数，经监督部门调查确认属实的，抽取结果及依据此抽取结果进一步作出的评审结论一律无效，监督部门将视情作出重新组织抽取或项目重新组织采购的处理决定，并对相关违规人员予以处理。</w:t>
      </w:r>
    </w:p>
    <w:p w14:paraId="303FCD58">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kern w:val="0"/>
          <w:sz w:val="24"/>
          <w:szCs w:val="24"/>
          <w:highlight w:val="none"/>
          <w:lang w:val="en-US" w:eastAsia="zh-CN" w:bidi="ar-SA"/>
        </w:rPr>
      </w:pPr>
      <w:r>
        <w:rPr>
          <w:rFonts w:ascii="宋体" w:hAnsi="宋体" w:eastAsia="宋体" w:cs="宋体"/>
          <w:color w:val="auto"/>
          <w:kern w:val="0"/>
          <w:sz w:val="24"/>
          <w:szCs w:val="24"/>
          <w:highlight w:val="none"/>
          <w:lang w:val="zh-CN" w:eastAsia="zh-CN" w:bidi="ar-SA"/>
        </w:rPr>
        <w:t>第三步，</w:t>
      </w:r>
      <w:r>
        <w:rPr>
          <w:rFonts w:hint="eastAsia" w:ascii="宋体" w:hAnsi="宋体" w:eastAsia="宋体" w:cs="宋体"/>
          <w:color w:val="auto"/>
          <w:kern w:val="0"/>
          <w:sz w:val="24"/>
          <w:szCs w:val="24"/>
          <w:highlight w:val="none"/>
          <w:lang w:val="en-US" w:eastAsia="zh-CN" w:bidi="ar-SA"/>
        </w:rPr>
        <w:t>推荐成交候选人。成交候选人由谈判小组根据上述步骤抽取系数后，计算经评审合格的最终报价最低的为成交候选人。</w:t>
      </w:r>
    </w:p>
    <w:p w14:paraId="6864CA00">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spacing w:line="480" w:lineRule="exact"/>
        <w:ind w:firstLine="480" w:firstLineChars="200"/>
        <w:jc w:val="both"/>
        <w:textAlignment w:val="auto"/>
        <w:rPr>
          <w:rFonts w:hint="eastAsia"/>
        </w:rPr>
      </w:pPr>
      <w:r>
        <w:rPr>
          <w:rFonts w:hint="eastAsia" w:ascii="宋体" w:hAnsi="宋体" w:eastAsia="宋体" w:cs="宋体"/>
          <w:color w:val="auto"/>
          <w:kern w:val="0"/>
          <w:sz w:val="24"/>
          <w:szCs w:val="24"/>
          <w:highlight w:val="none"/>
          <w:lang w:val="en-US" w:eastAsia="zh-CN" w:bidi="ar-SA"/>
        </w:rPr>
        <w:t>第四步，</w:t>
      </w:r>
      <w:r>
        <w:rPr>
          <w:rFonts w:ascii="宋体" w:hAnsi="宋体" w:eastAsia="宋体" w:cs="宋体"/>
          <w:color w:val="auto"/>
          <w:kern w:val="0"/>
          <w:sz w:val="24"/>
          <w:szCs w:val="24"/>
          <w:highlight w:val="none"/>
          <w:lang w:val="zh-CN" w:eastAsia="zh-CN" w:bidi="ar-SA"/>
        </w:rPr>
        <w:t>特殊情况处理。若上述评审均合格的前三名供应商中，排序第一的（即：经评审合格的最终报价最低的）供应商有两家或两家以上时，则由采购人按照公开、公平、公正的原则，于开标当天在开标现场在监督人员监督下公开确定成交供应商。具体的公开确定方式由采购人决定。</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33D7A4E6">
      <w:pPr>
        <w:pageBreakBefore w:val="0"/>
        <w:widowControl w:val="0"/>
        <w:kinsoku/>
        <w:wordWrap/>
        <w:overflowPunct/>
        <w:topLinePunct w:val="0"/>
        <w:autoSpaceDE/>
        <w:autoSpaceDN/>
        <w:bidi w:val="0"/>
        <w:snapToGrid/>
        <w:spacing w:line="500" w:lineRule="exact"/>
        <w:ind w:firstLine="480" w:firstLineChars="200"/>
        <w:rPr>
          <w:rFonts w:ascii="宋体" w:hAnsi="宋体" w:cs="宋体"/>
          <w:color w:val="auto"/>
          <w:sz w:val="24"/>
          <w:szCs w:val="24"/>
          <w:highlight w:val="none"/>
          <w:u w:val="none"/>
        </w:rPr>
      </w:pPr>
      <w:r>
        <w:rPr>
          <w:rFonts w:hint="eastAsia" w:ascii="宋体" w:hAnsi="宋体"/>
          <w:sz w:val="24"/>
          <w:szCs w:val="24"/>
          <w:highlight w:val="none"/>
        </w:rPr>
        <w:t>3、</w:t>
      </w:r>
      <w:r>
        <w:rPr>
          <w:rFonts w:ascii="宋体" w:hAnsi="宋体" w:cs="宋体"/>
          <w:sz w:val="24"/>
          <w:szCs w:val="24"/>
          <w:highlight w:val="none"/>
        </w:rPr>
        <w:t>本项目采用固定</w:t>
      </w:r>
      <w:r>
        <w:rPr>
          <w:rFonts w:hint="eastAsia" w:ascii="宋体" w:hAnsi="宋体" w:cs="宋体"/>
          <w:sz w:val="24"/>
          <w:szCs w:val="24"/>
          <w:highlight w:val="none"/>
          <w:lang w:eastAsia="zh-CN"/>
        </w:rPr>
        <w:t>单</w:t>
      </w:r>
      <w:r>
        <w:rPr>
          <w:rFonts w:ascii="宋体" w:hAnsi="宋体" w:cs="宋体"/>
          <w:sz w:val="24"/>
          <w:szCs w:val="24"/>
          <w:highlight w:val="none"/>
        </w:rPr>
        <w:t>价形式报价，供应商应仔细阅读</w:t>
      </w:r>
      <w:r>
        <w:rPr>
          <w:rFonts w:hint="eastAsia" w:ascii="宋体" w:hAnsi="宋体" w:cs="宋体"/>
          <w:sz w:val="24"/>
          <w:szCs w:val="24"/>
          <w:highlight w:val="none"/>
          <w:lang w:val="en-US" w:eastAsia="zh-CN"/>
        </w:rPr>
        <w:t>谈判</w:t>
      </w:r>
      <w:r>
        <w:rPr>
          <w:rFonts w:ascii="宋体" w:hAnsi="宋体" w:cs="宋体"/>
          <w:sz w:val="24"/>
          <w:szCs w:val="24"/>
          <w:highlight w:val="none"/>
        </w:rPr>
        <w:t>文件，了解拟</w:t>
      </w:r>
      <w:r>
        <w:rPr>
          <w:rFonts w:hint="eastAsia" w:ascii="宋体" w:hAnsi="宋体" w:cs="宋体"/>
          <w:sz w:val="24"/>
          <w:szCs w:val="24"/>
          <w:highlight w:val="none"/>
          <w:lang w:val="en-US" w:eastAsia="zh-CN"/>
        </w:rPr>
        <w:t>响应</w:t>
      </w:r>
      <w:r>
        <w:rPr>
          <w:rFonts w:ascii="宋体" w:hAnsi="宋体" w:cs="宋体"/>
          <w:sz w:val="24"/>
          <w:szCs w:val="24"/>
          <w:highlight w:val="none"/>
        </w:rPr>
        <w:t>项目的全部工程内容。供应商的响应报价应是</w:t>
      </w:r>
      <w:r>
        <w:rPr>
          <w:rFonts w:hint="eastAsia" w:ascii="宋体" w:hAnsi="宋体" w:cs="宋体"/>
          <w:sz w:val="24"/>
          <w:szCs w:val="24"/>
          <w:highlight w:val="none"/>
          <w:lang w:eastAsia="zh-CN"/>
        </w:rPr>
        <w:t>谈判文件</w:t>
      </w:r>
      <w:r>
        <w:rPr>
          <w:rFonts w:ascii="宋体" w:hAnsi="宋体" w:cs="宋体"/>
          <w:sz w:val="24"/>
          <w:szCs w:val="24"/>
          <w:highlight w:val="none"/>
        </w:rPr>
        <w:t>所确定的</w:t>
      </w:r>
      <w:r>
        <w:rPr>
          <w:rFonts w:hint="eastAsia" w:ascii="宋体" w:hAnsi="宋体" w:cs="宋体"/>
          <w:sz w:val="24"/>
          <w:szCs w:val="24"/>
          <w:highlight w:val="none"/>
          <w:lang w:val="en-US" w:eastAsia="zh-CN"/>
        </w:rPr>
        <w:t>采购需求</w:t>
      </w:r>
      <w:r>
        <w:rPr>
          <w:rFonts w:ascii="宋体" w:hAnsi="宋体" w:cs="宋体"/>
          <w:sz w:val="24"/>
          <w:szCs w:val="24"/>
          <w:highlight w:val="none"/>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highlight w:val="none"/>
        </w:rPr>
        <w:t>，</w:t>
      </w:r>
      <w:r>
        <w:rPr>
          <w:rFonts w:ascii="宋体" w:hAnsi="宋体" w:cs="宋体"/>
          <w:sz w:val="24"/>
          <w:szCs w:val="24"/>
          <w:highlight w:val="none"/>
        </w:rPr>
        <w:t>任何响应优惠都体现在报价内。采购人不要求供应商采用总价优惠或以总价百分比优惠的方式进行响应报价，其优惠应直接体现在各项响应报价的综合单价中。</w:t>
      </w:r>
      <w:r>
        <w:rPr>
          <w:rFonts w:ascii="宋体" w:hAnsi="宋体" w:cs="宋体"/>
          <w:color w:val="auto"/>
          <w:sz w:val="24"/>
          <w:szCs w:val="24"/>
          <w:highlight w:val="none"/>
          <w:u w:val="none"/>
        </w:rPr>
        <w:t>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5EDAFA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4E20286F">
      <w:pPr>
        <w:pStyle w:val="6"/>
        <w:rPr>
          <w:rFonts w:hint="eastAsia" w:ascii="宋体" w:hAnsi="宋体"/>
          <w:sz w:val="24"/>
        </w:rPr>
      </w:pPr>
    </w:p>
    <w:p w14:paraId="28D6C0C0">
      <w:pPr>
        <w:rPr>
          <w:rFonts w:hint="eastAsia" w:ascii="宋体" w:hAnsi="宋体"/>
          <w:sz w:val="24"/>
        </w:rPr>
      </w:pPr>
    </w:p>
    <w:p w14:paraId="06FF8F28">
      <w:pPr>
        <w:pStyle w:val="8"/>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31"/>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8"/>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8"/>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8"/>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3"/>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8"/>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8"/>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8"/>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8"/>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10816"/>
      <w:bookmarkStart w:id="81" w:name="_Toc5601"/>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21"/>
        <w:pageBreakBefore w:val="0"/>
        <w:kinsoku/>
        <w:overflowPunct/>
        <w:topLinePunct w:val="0"/>
        <w:bidi w:val="0"/>
        <w:spacing w:line="500" w:lineRule="exact"/>
        <w:rPr>
          <w:rFonts w:ascii="宋体" w:hAnsi="宋体" w:eastAsia="宋体" w:cs="宋体"/>
          <w:b/>
          <w:bCs/>
          <w:sz w:val="24"/>
        </w:rPr>
      </w:pPr>
    </w:p>
    <w:p w14:paraId="770A6442">
      <w:pPr>
        <w:pStyle w:val="21"/>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8"/>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8"/>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2"/>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8"/>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8"/>
        <w:pageBreakBefore w:val="0"/>
        <w:kinsoku/>
        <w:overflowPunct/>
        <w:topLinePunct w:val="0"/>
        <w:bidi w:val="0"/>
        <w:spacing w:before="0" w:after="0" w:line="50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14:paraId="34FAF8A0">
      <w:pPr>
        <w:pStyle w:val="2"/>
        <w:pageBreakBefore w:val="0"/>
        <w:widowControl w:val="0"/>
        <w:kinsoku/>
        <w:wordWrap/>
        <w:overflowPunct/>
        <w:topLinePunct w:val="0"/>
        <w:autoSpaceDE/>
        <w:autoSpaceDN/>
        <w:bidi w:val="0"/>
        <w:snapToGrid/>
        <w:spacing w:line="500" w:lineRule="exact"/>
        <w:ind w:firstLine="480" w:firstLineChars="200"/>
        <w:rPr>
          <w:rFonts w:ascii="宋体" w:hAnsi="宋体"/>
          <w:szCs w:val="24"/>
        </w:rPr>
      </w:pPr>
      <w:r>
        <w:rPr>
          <w:rFonts w:hint="eastAsia" w:ascii="宋体" w:hAnsi="宋体"/>
          <w:szCs w:val="24"/>
        </w:rPr>
        <w:t>后附营业执照、资质证书、安全生产许可证、项目经理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证书、项目经理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安全生产考核合格证书、</w:t>
      </w:r>
      <w:r>
        <w:rPr>
          <w:rFonts w:hint="eastAsia" w:ascii="宋体" w:hAnsi="宋体"/>
          <w:szCs w:val="24"/>
          <w:lang w:eastAsia="zh-CN"/>
        </w:rPr>
        <w:t>技术负责人职称证书、</w:t>
      </w:r>
      <w:r>
        <w:rPr>
          <w:rFonts w:hint="eastAsia" w:ascii="宋体" w:hAnsi="宋体"/>
          <w:szCs w:val="24"/>
        </w:rPr>
        <w:t>项目班子</w:t>
      </w:r>
      <w:r>
        <w:rPr>
          <w:rFonts w:hint="eastAsia" w:ascii="宋体" w:hAnsi="宋体"/>
          <w:szCs w:val="24"/>
          <w:lang w:eastAsia="zh-CN"/>
        </w:rPr>
        <w:t>名单、</w:t>
      </w:r>
      <w:r>
        <w:rPr>
          <w:rFonts w:hint="eastAsia" w:ascii="宋体" w:hAnsi="宋体"/>
          <w:szCs w:val="24"/>
        </w:rPr>
        <w:t>社保证明材料等资料复印件或打印件。</w:t>
      </w:r>
    </w:p>
    <w:p w14:paraId="2E205966">
      <w:pPr>
        <w:pageBreakBefore w:val="0"/>
        <w:kinsoku/>
        <w:overflowPunct/>
        <w:topLinePunct w:val="0"/>
        <w:bidi w:val="0"/>
        <w:spacing w:line="500" w:lineRule="exact"/>
        <w:jc w:val="center"/>
      </w:pPr>
    </w:p>
    <w:p w14:paraId="11D51063">
      <w:pPr>
        <w:pStyle w:val="8"/>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8"/>
        <w:pageBreakBefore w:val="0"/>
        <w:kinsoku/>
        <w:overflowPunct/>
        <w:topLinePunct w:val="0"/>
        <w:bidi w:val="0"/>
        <w:spacing w:before="0" w:after="0" w:line="500" w:lineRule="exact"/>
        <w:jc w:val="center"/>
        <w:rPr>
          <w:rFonts w:ascii="宋体" w:hAnsi="宋体" w:eastAsia="宋体" w:cs="宋体"/>
          <w:sz w:val="24"/>
          <w:szCs w:val="24"/>
        </w:rPr>
      </w:pPr>
      <w:bookmarkStart w:id="86" w:name="_Toc3234"/>
      <w:bookmarkStart w:id="87" w:name="_Toc10696"/>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1DF2EEE7">
      <w:pPr>
        <w:pageBreakBefore w:val="0"/>
        <w:kinsoku/>
        <w:overflowPunct/>
        <w:topLinePunct w:val="0"/>
        <w:bidi w:val="0"/>
        <w:spacing w:line="500" w:lineRule="exact"/>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31"/>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8"/>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31"/>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9"/>
        <w:pageBreakBefore w:val="0"/>
        <w:kinsoku/>
        <w:overflowPunct/>
        <w:topLinePunct w:val="0"/>
        <w:bidi w:val="0"/>
        <w:spacing w:line="500" w:lineRule="exact"/>
        <w:rPr>
          <w:rFonts w:hAnsi="宋体" w:cs="宋体"/>
          <w:sz w:val="24"/>
          <w:szCs w:val="24"/>
        </w:rPr>
      </w:pPr>
    </w:p>
    <w:p w14:paraId="7601B36B">
      <w:pPr>
        <w:pStyle w:val="8"/>
        <w:pageBreakBefore w:val="0"/>
        <w:kinsoku/>
        <w:overflowPunct/>
        <w:topLinePunct w:val="0"/>
        <w:bidi w:val="0"/>
        <w:spacing w:before="0" w:after="0" w:line="500" w:lineRule="exact"/>
        <w:rPr>
          <w:rFonts w:ascii="宋体" w:hAnsi="宋体" w:eastAsia="宋体" w:cs="宋体"/>
          <w:sz w:val="24"/>
          <w:szCs w:val="24"/>
        </w:rPr>
      </w:pPr>
    </w:p>
    <w:p w14:paraId="4F137E8C">
      <w:pPr>
        <w:pStyle w:val="8"/>
        <w:pageBreakBefore w:val="0"/>
        <w:kinsoku/>
        <w:overflowPunct/>
        <w:topLinePunct w:val="0"/>
        <w:bidi w:val="0"/>
        <w:spacing w:before="0" w:after="0" w:line="500" w:lineRule="exact"/>
        <w:rPr>
          <w:rFonts w:ascii="宋体" w:hAnsi="宋体" w:eastAsia="宋体" w:cs="宋体"/>
          <w:sz w:val="24"/>
          <w:szCs w:val="24"/>
        </w:rPr>
      </w:pPr>
    </w:p>
    <w:p w14:paraId="7E804189">
      <w:pPr>
        <w:pStyle w:val="8"/>
        <w:pageBreakBefore w:val="0"/>
        <w:kinsoku/>
        <w:overflowPunct/>
        <w:topLinePunct w:val="0"/>
        <w:bidi w:val="0"/>
        <w:spacing w:before="0" w:after="0" w:line="500" w:lineRule="exact"/>
        <w:rPr>
          <w:rFonts w:ascii="宋体" w:hAnsi="宋体" w:eastAsia="宋体" w:cs="宋体"/>
          <w:sz w:val="24"/>
          <w:szCs w:val="24"/>
        </w:rPr>
      </w:pPr>
    </w:p>
    <w:p w14:paraId="44E07512">
      <w:pPr>
        <w:pStyle w:val="8"/>
        <w:pageBreakBefore w:val="0"/>
        <w:kinsoku/>
        <w:overflowPunct/>
        <w:topLinePunct w:val="0"/>
        <w:bidi w:val="0"/>
        <w:spacing w:before="0" w:after="0" w:line="500" w:lineRule="exact"/>
        <w:rPr>
          <w:rFonts w:ascii="宋体" w:hAnsi="宋体" w:eastAsia="宋体" w:cs="宋体"/>
          <w:sz w:val="24"/>
          <w:szCs w:val="24"/>
        </w:rPr>
      </w:pPr>
    </w:p>
    <w:p w14:paraId="113CFF47">
      <w:pPr>
        <w:pStyle w:val="8"/>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8"/>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8"/>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9"/>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8"/>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8"/>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2"/>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2"/>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2"/>
        <w:pageBreakBefore w:val="0"/>
        <w:kinsoku/>
        <w:overflowPunct/>
        <w:topLinePunct w:val="0"/>
        <w:bidi w:val="0"/>
        <w:spacing w:line="500" w:lineRule="exact"/>
        <w:ind w:firstLine="210"/>
      </w:pPr>
    </w:p>
    <w:p w14:paraId="4023F5DC">
      <w:pPr>
        <w:pStyle w:val="2"/>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2"/>
        <w:pageBreakBefore w:val="0"/>
        <w:kinsoku/>
        <w:overflowPunct/>
        <w:topLinePunct w:val="0"/>
        <w:bidi w:val="0"/>
        <w:spacing w:line="500" w:lineRule="exact"/>
        <w:ind w:firstLine="210"/>
      </w:pPr>
    </w:p>
    <w:bookmarkEnd w:id="92"/>
    <w:p w14:paraId="5D82343D">
      <w:pPr>
        <w:pStyle w:val="8"/>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8"/>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9"/>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8"/>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8"/>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2"/>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供应商法定代表人（签名）：</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0C5A601D">
      <w:pPr>
        <w:pageBreakBefore w:val="0"/>
        <w:kinsoku/>
        <w:overflowPunct/>
        <w:topLinePunct w:val="0"/>
        <w:bidi w:val="0"/>
        <w:spacing w:line="500" w:lineRule="exact"/>
        <w:jc w:val="center"/>
        <w:rPr>
          <w:rFonts w:hint="eastAsia" w:ascii="宋体" w:hAnsi="宋体"/>
          <w:b/>
          <w:color w:val="auto"/>
          <w:sz w:val="28"/>
          <w:szCs w:val="28"/>
          <w:lang w:eastAsia="zh-CN"/>
        </w:rPr>
      </w:pPr>
    </w:p>
    <w:p w14:paraId="192DB738">
      <w:pPr>
        <w:pageBreakBefore w:val="0"/>
        <w:kinsoku/>
        <w:overflowPunct/>
        <w:topLinePunct w:val="0"/>
        <w:bidi w:val="0"/>
        <w:spacing w:line="500" w:lineRule="exact"/>
        <w:jc w:val="center"/>
        <w:rPr>
          <w:rFonts w:hint="eastAsia" w:ascii="宋体" w:hAnsi="宋体"/>
          <w:b/>
          <w:color w:val="auto"/>
          <w:sz w:val="28"/>
          <w:szCs w:val="28"/>
          <w:lang w:eastAsia="zh-CN"/>
        </w:rPr>
      </w:pPr>
    </w:p>
    <w:p w14:paraId="3533DFC2">
      <w:pPr>
        <w:pageBreakBefore w:val="0"/>
        <w:kinsoku/>
        <w:overflowPunct/>
        <w:topLinePunct w:val="0"/>
        <w:bidi w:val="0"/>
        <w:spacing w:line="500" w:lineRule="exact"/>
        <w:jc w:val="center"/>
        <w:rPr>
          <w:rFonts w:hint="eastAsia" w:ascii="宋体" w:hAnsi="宋体"/>
          <w:b/>
          <w:color w:val="auto"/>
          <w:sz w:val="28"/>
          <w:szCs w:val="28"/>
          <w:lang w:eastAsia="zh-CN"/>
        </w:rPr>
      </w:pPr>
    </w:p>
    <w:p w14:paraId="1266A565">
      <w:pPr>
        <w:pageBreakBefore w:val="0"/>
        <w:kinsoku/>
        <w:overflowPunct/>
        <w:topLinePunct w:val="0"/>
        <w:bidi w:val="0"/>
        <w:spacing w:line="500" w:lineRule="exact"/>
        <w:jc w:val="center"/>
        <w:rPr>
          <w:rFonts w:hint="eastAsia" w:ascii="宋体" w:hAnsi="宋体"/>
          <w:b/>
          <w:color w:val="auto"/>
          <w:sz w:val="28"/>
          <w:szCs w:val="28"/>
          <w:lang w:eastAsia="zh-CN"/>
        </w:rPr>
      </w:pPr>
    </w:p>
    <w:p w14:paraId="0CAB8D13">
      <w:pPr>
        <w:pageBreakBefore w:val="0"/>
        <w:kinsoku/>
        <w:overflowPunct/>
        <w:topLinePunct w:val="0"/>
        <w:bidi w:val="0"/>
        <w:spacing w:line="500" w:lineRule="exact"/>
        <w:jc w:val="center"/>
        <w:rPr>
          <w:rFonts w:hint="eastAsia" w:ascii="宋体" w:hAnsi="宋体"/>
          <w:b/>
          <w:color w:val="auto"/>
          <w:sz w:val="28"/>
          <w:szCs w:val="28"/>
          <w:lang w:eastAsia="zh-CN"/>
        </w:rPr>
      </w:pPr>
    </w:p>
    <w:p w14:paraId="7B5B7682">
      <w:pPr>
        <w:pageBreakBefore w:val="0"/>
        <w:kinsoku/>
        <w:overflowPunct/>
        <w:topLinePunct w:val="0"/>
        <w:bidi w:val="0"/>
        <w:spacing w:line="500" w:lineRule="exact"/>
        <w:jc w:val="center"/>
        <w:rPr>
          <w:rFonts w:hint="eastAsia" w:ascii="宋体" w:hAnsi="宋体"/>
          <w:b/>
          <w:color w:val="auto"/>
          <w:sz w:val="28"/>
          <w:szCs w:val="28"/>
          <w:lang w:eastAsia="zh-CN"/>
        </w:rPr>
      </w:pPr>
    </w:p>
    <w:p w14:paraId="4186DB10">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4F9985A9">
      <w:pPr>
        <w:pageBreakBefore w:val="0"/>
        <w:kinsoku/>
        <w:overflowPunct/>
        <w:topLinePunct w:val="0"/>
        <w:bidi w:val="0"/>
        <w:spacing w:line="500" w:lineRule="exact"/>
        <w:jc w:val="center"/>
        <w:rPr>
          <w:rFonts w:hint="eastAsia" w:ascii="宋体" w:hAnsi="宋体"/>
          <w:b/>
          <w:color w:val="auto"/>
          <w:sz w:val="24"/>
          <w:szCs w:val="24"/>
        </w:rPr>
      </w:pPr>
      <w:r>
        <w:rPr>
          <w:rFonts w:hint="eastAsia" w:ascii="宋体" w:hAnsi="宋体"/>
          <w:b/>
          <w:color w:val="auto"/>
          <w:sz w:val="24"/>
          <w:szCs w:val="24"/>
          <w:lang w:eastAsia="zh-CN"/>
        </w:rPr>
        <w:t>（</w:t>
      </w:r>
      <w:r>
        <w:rPr>
          <w:rFonts w:hint="eastAsia" w:ascii="宋体" w:hAnsi="宋体"/>
          <w:b/>
          <w:color w:val="auto"/>
          <w:sz w:val="24"/>
          <w:szCs w:val="24"/>
          <w:lang w:val="en-US" w:eastAsia="zh-CN"/>
        </w:rPr>
        <w:t>二</w:t>
      </w:r>
      <w:r>
        <w:rPr>
          <w:rFonts w:hint="eastAsia" w:ascii="宋体" w:hAnsi="宋体"/>
          <w:b/>
          <w:color w:val="auto"/>
          <w:sz w:val="24"/>
          <w:szCs w:val="24"/>
          <w:lang w:eastAsia="zh-CN"/>
        </w:rPr>
        <w:t>）</w:t>
      </w:r>
      <w:r>
        <w:rPr>
          <w:rFonts w:hint="eastAsia" w:ascii="宋体" w:hAnsi="宋体"/>
          <w:b/>
          <w:color w:val="auto"/>
          <w:sz w:val="24"/>
          <w:szCs w:val="24"/>
        </w:rPr>
        <w:t>无在建承诺函</w:t>
      </w:r>
    </w:p>
    <w:p w14:paraId="3B49198A">
      <w:pPr>
        <w:pageBreakBefore w:val="0"/>
        <w:widowControl/>
        <w:kinsoku/>
        <w:overflowPunct/>
        <w:topLinePunct w:val="0"/>
        <w:bidi w:val="0"/>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14:paraId="6F7CB786">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14:paraId="7F83F6EA">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14:paraId="4ADBC43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14:paraId="658B766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p>
    <w:p w14:paraId="3A568277">
      <w:pPr>
        <w:pageBreakBefore w:val="0"/>
        <w:kinsoku/>
        <w:overflowPunct/>
        <w:topLinePunct w:val="0"/>
        <w:bidi w:val="0"/>
        <w:spacing w:line="500" w:lineRule="exact"/>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14:paraId="49A1FAC2">
      <w:pPr>
        <w:pageBreakBefore w:val="0"/>
        <w:kinsoku/>
        <w:overflowPunct/>
        <w:topLinePunct w:val="0"/>
        <w:bidi w:val="0"/>
        <w:spacing w:line="5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w:t>
      </w:r>
      <w:r>
        <w:rPr>
          <w:rFonts w:hint="eastAsia" w:ascii="宋体" w:hAnsi="宋体" w:cs="宋体"/>
          <w:color w:val="auto"/>
          <w:kern w:val="0"/>
          <w:sz w:val="24"/>
          <w:szCs w:val="24"/>
          <w:lang w:eastAsia="zh-CN"/>
        </w:rPr>
        <w:t>签字或盖章</w:t>
      </w:r>
      <w:r>
        <w:rPr>
          <w:rFonts w:hint="eastAsia" w:ascii="宋体" w:hAnsi="宋体" w:cs="宋体"/>
          <w:color w:val="auto"/>
          <w:kern w:val="0"/>
          <w:sz w:val="24"/>
          <w:szCs w:val="24"/>
        </w:rPr>
        <w:t>）：</w:t>
      </w:r>
    </w:p>
    <w:p w14:paraId="4D64985A">
      <w:pPr>
        <w:pageBreakBefore w:val="0"/>
        <w:kinsoku/>
        <w:overflowPunct/>
        <w:topLinePunct w:val="0"/>
        <w:bidi w:val="0"/>
        <w:spacing w:line="500" w:lineRule="exact"/>
        <w:ind w:firstLine="3840" w:firstLineChars="1600"/>
        <w:jc w:val="both"/>
        <w:rPr>
          <w:rFonts w:hint="eastAsia" w:ascii="宋体" w:hAnsi="宋体" w:cs="宋体"/>
          <w:color w:val="auto"/>
          <w:kern w:val="0"/>
          <w:sz w:val="24"/>
          <w:szCs w:val="24"/>
        </w:rPr>
      </w:pPr>
      <w:r>
        <w:rPr>
          <w:rFonts w:hint="eastAsia" w:ascii="宋体" w:hAnsi="宋体" w:cs="宋体"/>
          <w:color w:val="auto"/>
          <w:kern w:val="0"/>
          <w:sz w:val="24"/>
          <w:szCs w:val="24"/>
        </w:rPr>
        <w:t xml:space="preserve">日      期： </w:t>
      </w:r>
      <w:bookmarkStart w:id="104" w:name="_Toc3426"/>
    </w:p>
    <w:p w14:paraId="4983D74F">
      <w:pPr>
        <w:pStyle w:val="8"/>
        <w:pageBreakBefore w:val="0"/>
        <w:kinsoku/>
        <w:overflowPunct/>
        <w:topLinePunct w:val="0"/>
        <w:bidi w:val="0"/>
        <w:spacing w:before="0" w:after="0" w:line="500" w:lineRule="exact"/>
        <w:rPr>
          <w:rFonts w:hint="eastAsia" w:ascii="宋体" w:hAnsi="宋体" w:eastAsia="宋体" w:cs="宋体"/>
          <w:sz w:val="24"/>
          <w:szCs w:val="24"/>
        </w:rPr>
      </w:pPr>
    </w:p>
    <w:p w14:paraId="5A77A868">
      <w:pPr>
        <w:rPr>
          <w:rFonts w:hint="eastAsia"/>
        </w:rPr>
      </w:pPr>
    </w:p>
    <w:p w14:paraId="658157C9">
      <w:pPr>
        <w:keepNext w:val="0"/>
        <w:keepLines w:val="0"/>
        <w:widowControl/>
        <w:numPr>
          <w:ilvl w:val="0"/>
          <w:numId w:val="0"/>
        </w:numPr>
        <w:suppressLineNumbers w:val="0"/>
        <w:spacing w:before="0" w:beforeAutospacing="0" w:after="0" w:afterAutospacing="0"/>
        <w:ind w:right="0" w:rightChars="0"/>
        <w:jc w:val="center"/>
        <w:rPr>
          <w:rFonts w:ascii="Times New Roman" w:hAnsi="Times New Roman" w:eastAsia="宋体" w:cs="Times New Roman"/>
          <w:kern w:val="0"/>
          <w:sz w:val="24"/>
          <w:highlight w:val="none"/>
          <w:lang w:val="en-US" w:eastAsia="zh-CN" w:bidi="ar-SA"/>
        </w:rPr>
      </w:pPr>
      <w:r>
        <w:rPr>
          <w:rFonts w:hint="eastAsia" w:ascii="宋体" w:hAnsi="宋体" w:eastAsia="宋体" w:cs="Times New Roman"/>
          <w:b/>
          <w:color w:val="auto"/>
          <w:kern w:val="0"/>
          <w:sz w:val="28"/>
          <w:szCs w:val="28"/>
          <w:highlight w:val="none"/>
          <w:lang w:val="en-US" w:eastAsia="zh-CN" w:bidi="ar-SA"/>
        </w:rPr>
        <w:t>（三）</w:t>
      </w:r>
      <w:r>
        <w:rPr>
          <w:rFonts w:ascii="Times New Roman" w:hAnsi="Times New Roman" w:eastAsia="宋体" w:cs="Times New Roman"/>
          <w:kern w:val="0"/>
          <w:sz w:val="24"/>
          <w:highlight w:val="none"/>
          <w:lang w:val="en-US" w:eastAsia="zh-CN" w:bidi="ar-SA"/>
        </w:rPr>
        <w:t xml:space="preserve"> </w:t>
      </w:r>
      <w:r>
        <w:rPr>
          <w:rFonts w:hint="eastAsia" w:ascii="宋体" w:hAnsi="宋体" w:eastAsia="宋体" w:cs="宋体"/>
          <w:b/>
          <w:bCs/>
          <w:i w:val="0"/>
          <w:iCs w:val="0"/>
          <w:color w:val="000000"/>
          <w:spacing w:val="0"/>
          <w:w w:val="100"/>
          <w:kern w:val="0"/>
          <w:sz w:val="28"/>
          <w:szCs w:val="28"/>
          <w:highlight w:val="none"/>
          <w:vertAlign w:val="baseline"/>
          <w:lang w:val="en-US" w:eastAsia="zh-CN" w:bidi="ar-SA"/>
        </w:rPr>
        <w:t>工程变更事前监管承诺书</w:t>
      </w:r>
    </w:p>
    <w:p w14:paraId="71BF463A">
      <w:pPr>
        <w:keepNext w:val="0"/>
        <w:keepLines w:val="0"/>
        <w:widowControl/>
        <w:suppressLineNumbers w:val="0"/>
        <w:spacing w:before="0" w:beforeAutospacing="0" w:after="0" w:afterAutospacing="0" w:line="420" w:lineRule="exact"/>
        <w:ind w:left="1278" w:leftChars="200" w:right="0" w:hanging="858" w:hangingChars="409"/>
        <w:jc w:val="left"/>
        <w:rPr>
          <w:rFonts w:ascii="Times New Roman" w:hAnsi="Times New Roman" w:eastAsia="宋体" w:cs="Times New Roman"/>
          <w:kern w:val="0"/>
          <w:sz w:val="24"/>
          <w:highlight w:val="none"/>
          <w:lang w:val="en-US" w:eastAsia="zh-CN" w:bidi="ar-SA"/>
        </w:rPr>
      </w:pPr>
      <w:r>
        <w:rPr>
          <w:rFonts w:hint="eastAsia" w:ascii="宋体" w:hAnsi="宋体" w:eastAsia="宋体" w:cs="宋体"/>
          <w:b w:val="0"/>
          <w:bCs w:val="0"/>
          <w:i w:val="0"/>
          <w:iCs w:val="0"/>
          <w:color w:val="000000"/>
          <w:spacing w:val="0"/>
          <w:w w:val="100"/>
          <w:kern w:val="0"/>
          <w:sz w:val="21"/>
          <w:szCs w:val="21"/>
          <w:highlight w:val="none"/>
          <w:vertAlign w:val="baseline"/>
          <w:lang w:val="en-US" w:eastAsia="zh-CN" w:bidi="ar-SA"/>
        </w:rPr>
        <w:t> </w:t>
      </w:r>
    </w:p>
    <w:p w14:paraId="5B297E86">
      <w:pPr>
        <w:keepNext w:val="0"/>
        <w:keepLines w:val="0"/>
        <w:widowControl/>
        <w:suppressLineNumbers w:val="0"/>
        <w:spacing w:before="0" w:beforeAutospacing="0" w:after="0" w:afterAutospacing="0" w:line="360" w:lineRule="auto"/>
        <w:ind w:left="0" w:right="0" w:firstLine="420"/>
        <w:jc w:val="left"/>
        <w:rPr>
          <w:rFonts w:ascii="Times New Roman" w:hAnsi="Times New Roman" w:eastAsia="宋体" w:cs="Times New Roman"/>
          <w:kern w:val="0"/>
          <w:sz w:val="24"/>
          <w:szCs w:val="24"/>
          <w:highlight w:val="none"/>
          <w:lang w:val="en-US" w:eastAsia="zh-CN" w:bidi="ar-SA"/>
        </w:rPr>
      </w:pPr>
      <w:r>
        <w:rPr>
          <w:rFonts w:hint="eastAsia" w:ascii="宋体" w:hAnsi="宋体" w:eastAsia="宋体" w:cs="宋体"/>
          <w:b w:val="0"/>
          <w:bCs w:val="0"/>
          <w:i w:val="0"/>
          <w:iCs w:val="0"/>
          <w:color w:val="000000"/>
          <w:spacing w:val="0"/>
          <w:w w:val="100"/>
          <w:kern w:val="0"/>
          <w:sz w:val="24"/>
          <w:szCs w:val="24"/>
          <w:highlight w:val="none"/>
          <w:vertAlign w:val="baseline"/>
          <w:lang w:val="en-US" w:eastAsia="zh-CN" w:bidi="ar-SA"/>
        </w:rPr>
        <w:t>本公司郑重承诺，该项目现场已经考察，图纸、工程量清单我公司已经认真核对，确认无误，我公司中标后，严格按照图纸和工程量清单施工，未经审批的变更，业主不予认可，由我公司自行承担。</w:t>
      </w:r>
    </w:p>
    <w:p w14:paraId="4267DEF3">
      <w:pPr>
        <w:keepNext w:val="0"/>
        <w:keepLines w:val="0"/>
        <w:widowControl/>
        <w:suppressLineNumbers w:val="0"/>
        <w:spacing w:before="0" w:beforeAutospacing="0" w:after="0" w:afterAutospacing="0" w:line="360" w:lineRule="auto"/>
        <w:ind w:left="0" w:right="0" w:hanging="1281"/>
        <w:jc w:val="right"/>
        <w:rPr>
          <w:rFonts w:hint="eastAsia" w:ascii="宋体" w:hAnsi="宋体" w:eastAsia="宋体" w:cs="宋体"/>
          <w:b w:val="0"/>
          <w:bCs w:val="0"/>
          <w:i w:val="0"/>
          <w:iCs w:val="0"/>
          <w:color w:val="000000"/>
          <w:spacing w:val="0"/>
          <w:w w:val="100"/>
          <w:kern w:val="0"/>
          <w:sz w:val="24"/>
          <w:szCs w:val="24"/>
          <w:highlight w:val="none"/>
          <w:vertAlign w:val="baseline"/>
          <w:lang w:val="en-US" w:eastAsia="zh-CN" w:bidi="ar-SA"/>
        </w:rPr>
      </w:pPr>
    </w:p>
    <w:p w14:paraId="053C8218">
      <w:pPr>
        <w:keepNext w:val="0"/>
        <w:keepLines w:val="0"/>
        <w:widowControl/>
        <w:suppressLineNumbers w:val="0"/>
        <w:spacing w:before="0" w:beforeAutospacing="0" w:after="0" w:afterAutospacing="0" w:line="360" w:lineRule="auto"/>
        <w:ind w:left="0" w:right="0" w:hanging="1281"/>
        <w:jc w:val="right"/>
        <w:rPr>
          <w:rFonts w:ascii="Times New Roman" w:hAnsi="Times New Roman" w:eastAsia="宋体" w:cs="Times New Roman"/>
          <w:kern w:val="0"/>
          <w:sz w:val="24"/>
          <w:szCs w:val="24"/>
          <w:highlight w:val="none"/>
          <w:lang w:val="en-US" w:eastAsia="zh-CN" w:bidi="ar-SA"/>
        </w:rPr>
      </w:pPr>
      <w:r>
        <w:rPr>
          <w:rFonts w:hint="eastAsia" w:ascii="宋体" w:hAnsi="宋体" w:eastAsia="宋体" w:cs="宋体"/>
          <w:b w:val="0"/>
          <w:bCs w:val="0"/>
          <w:i w:val="0"/>
          <w:iCs w:val="0"/>
          <w:color w:val="000000"/>
          <w:spacing w:val="0"/>
          <w:w w:val="100"/>
          <w:kern w:val="0"/>
          <w:sz w:val="24"/>
          <w:szCs w:val="24"/>
          <w:highlight w:val="none"/>
          <w:vertAlign w:val="baseline"/>
          <w:lang w:val="en-US" w:eastAsia="zh-CN" w:bidi="ar-SA"/>
        </w:rPr>
        <w:t xml:space="preserve">供应商（盖章）： </w:t>
      </w:r>
    </w:p>
    <w:p w14:paraId="2B002924">
      <w:pPr>
        <w:keepNext w:val="0"/>
        <w:keepLines w:val="0"/>
        <w:widowControl/>
        <w:suppressLineNumbers w:val="0"/>
        <w:spacing w:before="0" w:beforeAutospacing="0" w:after="0" w:afterAutospacing="0" w:line="360" w:lineRule="auto"/>
        <w:ind w:left="0" w:right="0" w:hanging="1281"/>
        <w:jc w:val="right"/>
        <w:rPr>
          <w:rFonts w:ascii="Times New Roman" w:hAnsi="Times New Roman" w:eastAsia="宋体" w:cs="Times New Roman"/>
          <w:kern w:val="0"/>
          <w:sz w:val="24"/>
          <w:szCs w:val="24"/>
          <w:highlight w:val="none"/>
          <w:lang w:val="en-US" w:eastAsia="zh-CN" w:bidi="ar-SA"/>
        </w:rPr>
      </w:pPr>
      <w:r>
        <w:rPr>
          <w:rFonts w:hint="eastAsia" w:ascii="宋体" w:hAnsi="宋体" w:eastAsia="宋体" w:cs="宋体"/>
          <w:b w:val="0"/>
          <w:bCs w:val="0"/>
          <w:i w:val="0"/>
          <w:iCs w:val="0"/>
          <w:color w:val="000000"/>
          <w:spacing w:val="0"/>
          <w:w w:val="100"/>
          <w:kern w:val="0"/>
          <w:sz w:val="24"/>
          <w:szCs w:val="24"/>
          <w:highlight w:val="none"/>
          <w:vertAlign w:val="baseline"/>
          <w:lang w:val="en-US" w:eastAsia="zh-CN" w:bidi="ar-SA"/>
        </w:rPr>
        <w:t xml:space="preserve">日 期： </w:t>
      </w:r>
    </w:p>
    <w:p w14:paraId="48BDBE62">
      <w:pPr>
        <w:keepNext w:val="0"/>
        <w:keepLines w:val="0"/>
        <w:widowControl/>
        <w:suppressLineNumbers w:val="0"/>
        <w:spacing w:before="0" w:beforeAutospacing="0" w:after="0" w:afterAutospacing="0"/>
        <w:ind w:left="0" w:right="0" w:firstLine="4620"/>
        <w:jc w:val="right"/>
        <w:rPr>
          <w:rFonts w:hint="eastAsia" w:ascii="宋体" w:hAnsi="宋体" w:eastAsia="宋体" w:cs="宋体"/>
          <w:sz w:val="24"/>
          <w:szCs w:val="24"/>
        </w:rPr>
      </w:pPr>
      <w:r>
        <w:rPr>
          <w:rFonts w:hint="eastAsia" w:ascii="宋体" w:hAnsi="宋体" w:eastAsia="宋体" w:cs="宋体"/>
          <w:b w:val="0"/>
          <w:bCs w:val="0"/>
          <w:i w:val="0"/>
          <w:iCs w:val="0"/>
          <w:color w:val="000000"/>
          <w:spacing w:val="0"/>
          <w:w w:val="100"/>
          <w:kern w:val="0"/>
          <w:sz w:val="21"/>
          <w:szCs w:val="21"/>
          <w:highlight w:val="none"/>
          <w:vertAlign w:val="baseline"/>
          <w:lang w:val="en-US" w:eastAsia="zh-CN" w:bidi="ar-SA"/>
        </w:rPr>
        <w:t> </w:t>
      </w:r>
    </w:p>
    <w:p w14:paraId="0946FEF9">
      <w:pPr>
        <w:pStyle w:val="8"/>
        <w:pageBreakBefore w:val="0"/>
        <w:kinsoku/>
        <w:overflowPunct/>
        <w:topLinePunct w:val="0"/>
        <w:bidi w:val="0"/>
        <w:spacing w:before="0" w:after="0" w:line="500" w:lineRule="exact"/>
        <w:rPr>
          <w:rFonts w:hint="eastAsia" w:ascii="宋体" w:hAnsi="宋体" w:eastAsia="宋体" w:cs="宋体"/>
          <w:sz w:val="24"/>
          <w:szCs w:val="24"/>
        </w:rPr>
      </w:pPr>
    </w:p>
    <w:p w14:paraId="17674E4C">
      <w:pPr>
        <w:pStyle w:val="8"/>
        <w:pageBreakBefore w:val="0"/>
        <w:kinsoku/>
        <w:overflowPunct/>
        <w:topLinePunct w:val="0"/>
        <w:bidi w:val="0"/>
        <w:spacing w:before="0" w:after="0" w:line="500" w:lineRule="exact"/>
        <w:rPr>
          <w:rFonts w:hint="eastAsia" w:ascii="宋体" w:hAnsi="宋体" w:eastAsia="宋体" w:cs="宋体"/>
          <w:sz w:val="24"/>
          <w:szCs w:val="24"/>
          <w:lang w:val="en-US" w:eastAsia="zh-CN"/>
        </w:rPr>
      </w:pPr>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bookmarkEnd w:id="103"/>
    <w:p w14:paraId="3A667222">
      <w:pPr>
        <w:pStyle w:val="8"/>
        <w:pageBreakBefore w:val="0"/>
        <w:kinsoku/>
        <w:overflowPunct/>
        <w:topLinePunct w:val="0"/>
        <w:bidi w:val="0"/>
        <w:spacing w:before="0" w:after="0" w:line="500" w:lineRule="exact"/>
        <w:rPr>
          <w:rStyle w:val="116"/>
          <w:rFonts w:ascii="宋体" w:hAnsi="宋体" w:eastAsia="宋体" w:cs="宋体"/>
          <w:b/>
          <w:sz w:val="24"/>
          <w:szCs w:val="24"/>
        </w:rPr>
      </w:pPr>
      <w:bookmarkStart w:id="107" w:name="_Toc23763"/>
      <w:bookmarkStart w:id="108" w:name="_Toc5314"/>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w:t>
      </w:r>
      <w:r>
        <w:rPr>
          <w:rFonts w:hint="eastAsia" w:ascii="宋体" w:hAnsi="宋体" w:eastAsia="宋体" w:cs="宋体"/>
          <w:b/>
          <w:color w:val="auto"/>
          <w:sz w:val="24"/>
          <w:szCs w:val="24"/>
          <w:highlight w:val="none"/>
        </w:rPr>
        <w:t>（勿需装订在谈判文件内）</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54A68FC-EB02-42A3-863B-794CE9EDD5F5}"/>
  </w:font>
  <w:font w:name="黑体">
    <w:panose1 w:val="02010609060101010101"/>
    <w:charset w:val="86"/>
    <w:family w:val="auto"/>
    <w:pitch w:val="default"/>
    <w:sig w:usb0="800002BF" w:usb1="38CF7CFA" w:usb2="00000016" w:usb3="00000000" w:csb0="00040001" w:csb1="00000000"/>
    <w:embedRegular r:id="rId2" w:fontKey="{2839A029-EB92-49CF-AC6B-3946356B57A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E1B6D63-6E4F-4EC2-AFD8-E500E0057F86}"/>
  </w:font>
  <w:font w:name="仿宋_GB2312">
    <w:panose1 w:val="02010609030101010101"/>
    <w:charset w:val="86"/>
    <w:family w:val="auto"/>
    <w:pitch w:val="default"/>
    <w:sig w:usb0="00000001" w:usb1="080E0000" w:usb2="00000000" w:usb3="00000000" w:csb0="00040000" w:csb1="00000000"/>
    <w:embedRegular r:id="rId4" w:fontKey="{6510A76B-C23B-42B1-B75F-B4D3E30B41C6}"/>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embedRegular r:id="rId5" w:fontKey="{F1F59509-D622-4485-A6BD-0CB88841A4B5}"/>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D9487B44-DF80-4430-BAD1-4AA11B213887}"/>
  </w:font>
  <w:font w:name="华文中宋">
    <w:panose1 w:val="02010600040101010101"/>
    <w:charset w:val="86"/>
    <w:family w:val="auto"/>
    <w:pitch w:val="default"/>
    <w:sig w:usb0="00000287" w:usb1="080F0000" w:usb2="00000000" w:usb3="00000000" w:csb0="0004009F" w:csb1="DFD70000"/>
    <w:embedRegular r:id="rId7" w:fontKey="{3A5458C3-B230-4D70-AD58-FC1F035220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4"/>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4"/>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4"/>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5"/>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0248"/>
    <w:rsid w:val="1AD23FC4"/>
    <w:rsid w:val="1AE747FC"/>
    <w:rsid w:val="1AF45622"/>
    <w:rsid w:val="1B5A7D5C"/>
    <w:rsid w:val="1B7B26E1"/>
    <w:rsid w:val="1B8A33D7"/>
    <w:rsid w:val="1B98664F"/>
    <w:rsid w:val="1BE9375C"/>
    <w:rsid w:val="1C010930"/>
    <w:rsid w:val="1C0F0A4F"/>
    <w:rsid w:val="1C1A0C17"/>
    <w:rsid w:val="1C32741A"/>
    <w:rsid w:val="1C405AE5"/>
    <w:rsid w:val="1C577EAD"/>
    <w:rsid w:val="1CA344DF"/>
    <w:rsid w:val="1D0B371C"/>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0129"/>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B80978"/>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EFC15F1"/>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162CA"/>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34799D"/>
    <w:rsid w:val="673F6E25"/>
    <w:rsid w:val="680622D3"/>
    <w:rsid w:val="686C2F70"/>
    <w:rsid w:val="68A67F29"/>
    <w:rsid w:val="68BB130F"/>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346B1A"/>
    <w:rsid w:val="6D616AB2"/>
    <w:rsid w:val="6DD54955"/>
    <w:rsid w:val="6E4932E5"/>
    <w:rsid w:val="6E993829"/>
    <w:rsid w:val="6EB71B5D"/>
    <w:rsid w:val="6EBE56B6"/>
    <w:rsid w:val="6F447A17"/>
    <w:rsid w:val="6F7601FC"/>
    <w:rsid w:val="6F773253"/>
    <w:rsid w:val="6F7E1A3C"/>
    <w:rsid w:val="6FD11419"/>
    <w:rsid w:val="7017480F"/>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link w:val="60"/>
    <w:autoRedefine/>
    <w:qFormat/>
    <w:uiPriority w:val="0"/>
    <w:pPr>
      <w:keepNext/>
      <w:outlineLvl w:val="0"/>
    </w:pPr>
    <w:rPr>
      <w:sz w:val="28"/>
      <w:szCs w:val="24"/>
    </w:rPr>
  </w:style>
  <w:style w:type="paragraph" w:styleId="8">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9">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10">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6"/>
    <w:unhideWhenUsed/>
    <w:qFormat/>
    <w:uiPriority w:val="99"/>
    <w:pPr>
      <w:spacing w:line="400" w:lineRule="atLeast"/>
      <w:ind w:firstLine="426"/>
    </w:pPr>
    <w:rPr>
      <w:sz w:val="24"/>
      <w:szCs w:val="20"/>
    </w:rPr>
  </w:style>
  <w:style w:type="paragraph" w:styleId="3">
    <w:name w:val="Body Text"/>
    <w:basedOn w:val="1"/>
    <w:next w:val="4"/>
    <w:link w:val="76"/>
    <w:autoRedefine/>
    <w:qFormat/>
    <w:uiPriority w:val="0"/>
    <w:pPr>
      <w:spacing w:after="120"/>
    </w:pPr>
    <w:rPr>
      <w:szCs w:val="24"/>
    </w:rPr>
  </w:style>
  <w:style w:type="paragraph" w:customStyle="1" w:styleId="4">
    <w:name w:val="Default"/>
    <w:next w:val="5"/>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6">
    <w:name w:val="toc 6"/>
    <w:basedOn w:val="1"/>
    <w:next w:val="1"/>
    <w:autoRedefine/>
    <w:qFormat/>
    <w:uiPriority w:val="0"/>
    <w:pPr>
      <w:ind w:left="2100" w:leftChars="1000"/>
    </w:pPr>
  </w:style>
  <w:style w:type="paragraph" w:styleId="11">
    <w:name w:val="toc 7"/>
    <w:basedOn w:val="1"/>
    <w:next w:val="1"/>
    <w:qFormat/>
    <w:uiPriority w:val="0"/>
    <w:pPr>
      <w:ind w:left="2520" w:leftChars="1200"/>
    </w:pPr>
  </w:style>
  <w:style w:type="paragraph" w:styleId="12">
    <w:name w:val="Document Map"/>
    <w:basedOn w:val="1"/>
    <w:link w:val="87"/>
    <w:autoRedefine/>
    <w:qFormat/>
    <w:uiPriority w:val="0"/>
    <w:pPr>
      <w:shd w:val="clear" w:color="auto" w:fill="000080"/>
    </w:pPr>
  </w:style>
  <w:style w:type="paragraph" w:styleId="13">
    <w:name w:val="annotation text"/>
    <w:basedOn w:val="1"/>
    <w:link w:val="81"/>
    <w:semiHidden/>
    <w:qFormat/>
    <w:uiPriority w:val="99"/>
    <w:pPr>
      <w:jc w:val="left"/>
    </w:pPr>
  </w:style>
  <w:style w:type="paragraph" w:styleId="14">
    <w:name w:val="Body Text 3"/>
    <w:basedOn w:val="1"/>
    <w:link w:val="101"/>
    <w:autoRedefine/>
    <w:unhideWhenUsed/>
    <w:qFormat/>
    <w:uiPriority w:val="99"/>
    <w:pPr>
      <w:spacing w:after="120"/>
    </w:pPr>
    <w:rPr>
      <w:rFonts w:ascii="Calibri" w:hAnsi="Calibri"/>
      <w:sz w:val="16"/>
      <w:szCs w:val="16"/>
      <w:lang w:val="zh-CN"/>
    </w:rPr>
  </w:style>
  <w:style w:type="paragraph" w:styleId="15">
    <w:name w:val="Body Text Indent"/>
    <w:basedOn w:val="1"/>
    <w:next w:val="16"/>
    <w:link w:val="65"/>
    <w:autoRedefine/>
    <w:qFormat/>
    <w:uiPriority w:val="0"/>
    <w:pPr>
      <w:ind w:firstLine="540"/>
    </w:pPr>
    <w:rPr>
      <w:rFonts w:eastAsia="仿宋_GB2312"/>
      <w:sz w:val="28"/>
    </w:rPr>
  </w:style>
  <w:style w:type="paragraph" w:styleId="16">
    <w:name w:val="envelope return"/>
    <w:basedOn w:val="1"/>
    <w:autoRedefine/>
    <w:unhideWhenUsed/>
    <w:qFormat/>
    <w:uiPriority w:val="99"/>
    <w:pPr>
      <w:snapToGrid w:val="0"/>
      <w:spacing w:line="360" w:lineRule="auto"/>
    </w:pPr>
    <w:rPr>
      <w:rFonts w:ascii="Arial" w:hAnsi="Arial" w:cs="Arial"/>
    </w:rPr>
  </w:style>
  <w:style w:type="paragraph" w:styleId="17">
    <w:name w:val="toc 5"/>
    <w:basedOn w:val="1"/>
    <w:next w:val="1"/>
    <w:autoRedefine/>
    <w:qFormat/>
    <w:uiPriority w:val="0"/>
    <w:pPr>
      <w:ind w:left="1680" w:leftChars="800"/>
    </w:pPr>
  </w:style>
  <w:style w:type="paragraph" w:styleId="18">
    <w:name w:val="toc 3"/>
    <w:basedOn w:val="1"/>
    <w:next w:val="1"/>
    <w:qFormat/>
    <w:uiPriority w:val="39"/>
    <w:pPr>
      <w:ind w:left="840" w:leftChars="400"/>
    </w:pPr>
  </w:style>
  <w:style w:type="paragraph" w:styleId="19">
    <w:name w:val="Plain Text"/>
    <w:basedOn w:val="1"/>
    <w:link w:val="84"/>
    <w:autoRedefine/>
    <w:qFormat/>
    <w:uiPriority w:val="0"/>
    <w:rPr>
      <w:rFonts w:ascii="宋体" w:hAnsi="Courier New" w:cstheme="minorBidi"/>
      <w:szCs w:val="22"/>
    </w:rPr>
  </w:style>
  <w:style w:type="paragraph" w:styleId="20">
    <w:name w:val="toc 8"/>
    <w:basedOn w:val="1"/>
    <w:next w:val="1"/>
    <w:autoRedefine/>
    <w:qFormat/>
    <w:uiPriority w:val="0"/>
    <w:pPr>
      <w:ind w:left="2940" w:leftChars="1400"/>
    </w:pPr>
  </w:style>
  <w:style w:type="paragraph" w:styleId="21">
    <w:name w:val="Date"/>
    <w:basedOn w:val="1"/>
    <w:next w:val="1"/>
    <w:link w:val="64"/>
    <w:autoRedefine/>
    <w:qFormat/>
    <w:uiPriority w:val="0"/>
    <w:rPr>
      <w:rFonts w:ascii="Arial" w:hAnsi="Arial" w:eastAsia="楷体_GB2312"/>
      <w:sz w:val="28"/>
    </w:rPr>
  </w:style>
  <w:style w:type="paragraph" w:styleId="22">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3">
    <w:name w:val="Balloon Text"/>
    <w:basedOn w:val="1"/>
    <w:link w:val="78"/>
    <w:autoRedefine/>
    <w:qFormat/>
    <w:uiPriority w:val="0"/>
    <w:rPr>
      <w:sz w:val="18"/>
      <w:szCs w:val="18"/>
    </w:rPr>
  </w:style>
  <w:style w:type="paragraph" w:styleId="24">
    <w:name w:val="footer"/>
    <w:basedOn w:val="1"/>
    <w:link w:val="59"/>
    <w:autoRedefine/>
    <w:unhideWhenUsed/>
    <w:qFormat/>
    <w:uiPriority w:val="99"/>
    <w:pPr>
      <w:tabs>
        <w:tab w:val="center" w:pos="4153"/>
        <w:tab w:val="right" w:pos="8306"/>
      </w:tabs>
      <w:snapToGrid w:val="0"/>
      <w:jc w:val="left"/>
    </w:pPr>
    <w:rPr>
      <w:sz w:val="18"/>
      <w:szCs w:val="18"/>
    </w:rPr>
  </w:style>
  <w:style w:type="paragraph" w:styleId="25">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autoRedefine/>
    <w:qFormat/>
    <w:uiPriority w:val="0"/>
  </w:style>
  <w:style w:type="paragraph" w:styleId="27">
    <w:name w:val="toc 4"/>
    <w:basedOn w:val="1"/>
    <w:next w:val="1"/>
    <w:autoRedefine/>
    <w:qFormat/>
    <w:uiPriority w:val="0"/>
    <w:pPr>
      <w:ind w:left="1260" w:leftChars="600"/>
    </w:pPr>
  </w:style>
  <w:style w:type="paragraph" w:styleId="28">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9">
    <w:name w:val="toc 2"/>
    <w:basedOn w:val="1"/>
    <w:next w:val="1"/>
    <w:autoRedefine/>
    <w:qFormat/>
    <w:uiPriority w:val="39"/>
    <w:pPr>
      <w:ind w:left="420" w:leftChars="200"/>
    </w:pPr>
  </w:style>
  <w:style w:type="paragraph" w:styleId="30">
    <w:name w:val="toc 9"/>
    <w:basedOn w:val="1"/>
    <w:next w:val="1"/>
    <w:autoRedefine/>
    <w:qFormat/>
    <w:uiPriority w:val="0"/>
    <w:pPr>
      <w:ind w:left="3360" w:leftChars="1600"/>
    </w:pPr>
  </w:style>
  <w:style w:type="paragraph" w:styleId="31">
    <w:name w:val="Body Text 2"/>
    <w:basedOn w:val="1"/>
    <w:autoRedefine/>
    <w:qFormat/>
    <w:uiPriority w:val="0"/>
    <w:pPr>
      <w:spacing w:after="120" w:line="480" w:lineRule="auto"/>
    </w:pPr>
  </w:style>
  <w:style w:type="paragraph" w:styleId="32">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3">
    <w:name w:val="Normal (Web)"/>
    <w:basedOn w:val="1"/>
    <w:autoRedefine/>
    <w:unhideWhenUsed/>
    <w:qFormat/>
    <w:uiPriority w:val="99"/>
    <w:pPr>
      <w:jc w:val="left"/>
    </w:pPr>
    <w:rPr>
      <w:kern w:val="0"/>
      <w:sz w:val="24"/>
    </w:rPr>
  </w:style>
  <w:style w:type="paragraph" w:styleId="34">
    <w:name w:val="index 1"/>
    <w:basedOn w:val="1"/>
    <w:next w:val="1"/>
    <w:autoRedefine/>
    <w:semiHidden/>
    <w:qFormat/>
    <w:uiPriority w:val="0"/>
    <w:pPr>
      <w:jc w:val="center"/>
    </w:pPr>
    <w:rPr>
      <w:rFonts w:ascii="仿宋_GB2312" w:eastAsia="仿宋_GB2312"/>
      <w:b/>
      <w:bCs/>
      <w:sz w:val="28"/>
    </w:rPr>
  </w:style>
  <w:style w:type="paragraph" w:styleId="35">
    <w:name w:val="annotation subject"/>
    <w:basedOn w:val="13"/>
    <w:next w:val="13"/>
    <w:link w:val="82"/>
    <w:autoRedefine/>
    <w:semiHidden/>
    <w:qFormat/>
    <w:uiPriority w:val="99"/>
    <w:rPr>
      <w:b/>
      <w:bCs/>
    </w:rPr>
  </w:style>
  <w:style w:type="paragraph" w:styleId="36">
    <w:name w:val="Body Text First Indent 2"/>
    <w:basedOn w:val="15"/>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5"/>
    <w:autoRedefine/>
    <w:qFormat/>
    <w:uiPriority w:val="0"/>
    <w:rPr>
      <w:sz w:val="18"/>
      <w:szCs w:val="18"/>
    </w:rPr>
  </w:style>
  <w:style w:type="character" w:customStyle="1" w:styleId="59">
    <w:name w:val="页脚 字符"/>
    <w:basedOn w:val="39"/>
    <w:link w:val="24"/>
    <w:autoRedefine/>
    <w:qFormat/>
    <w:uiPriority w:val="0"/>
    <w:rPr>
      <w:sz w:val="18"/>
      <w:szCs w:val="18"/>
    </w:rPr>
  </w:style>
  <w:style w:type="character" w:customStyle="1" w:styleId="60">
    <w:name w:val="标题 1 字符"/>
    <w:basedOn w:val="39"/>
    <w:link w:val="7"/>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9"/>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10"/>
    <w:autoRedefine/>
    <w:qFormat/>
    <w:uiPriority w:val="0"/>
    <w:rPr>
      <w:rFonts w:ascii="Arial" w:hAnsi="Arial" w:eastAsia="黑体" w:cs="Times New Roman"/>
      <w:b/>
      <w:kern w:val="0"/>
      <w:sz w:val="28"/>
      <w:szCs w:val="20"/>
    </w:rPr>
  </w:style>
  <w:style w:type="character" w:customStyle="1" w:styleId="64">
    <w:name w:val="日期 字符"/>
    <w:basedOn w:val="39"/>
    <w:link w:val="21"/>
    <w:autoRedefine/>
    <w:qFormat/>
    <w:uiPriority w:val="0"/>
    <w:rPr>
      <w:rFonts w:ascii="Arial" w:hAnsi="Arial" w:eastAsia="楷体_GB2312" w:cs="Times New Roman"/>
      <w:sz w:val="28"/>
      <w:szCs w:val="20"/>
    </w:rPr>
  </w:style>
  <w:style w:type="character" w:customStyle="1" w:styleId="65">
    <w:name w:val="正文文本缩进 字符"/>
    <w:basedOn w:val="39"/>
    <w:link w:val="15"/>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2"/>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8"/>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8"/>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3"/>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3"/>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13"/>
    <w:autoRedefine/>
    <w:semiHidden/>
    <w:qFormat/>
    <w:uiPriority w:val="99"/>
    <w:rPr>
      <w:rFonts w:ascii="Times New Roman" w:hAnsi="Times New Roman" w:eastAsia="宋体" w:cs="Times New Roman"/>
      <w:szCs w:val="20"/>
    </w:rPr>
  </w:style>
  <w:style w:type="character" w:customStyle="1" w:styleId="82">
    <w:name w:val="批注主题 字符"/>
    <w:basedOn w:val="81"/>
    <w:link w:val="35"/>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9"/>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12"/>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5"/>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14"/>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8"/>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13030</Words>
  <Characters>13736</Characters>
  <Lines>294</Lines>
  <Paragraphs>82</Paragraphs>
  <TotalTime>1</TotalTime>
  <ScaleCrop>false</ScaleCrop>
  <LinksUpToDate>false</LinksUpToDate>
  <CharactersWithSpaces>14740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Administrator</cp:lastModifiedBy>
  <cp:lastPrinted>2025-07-14T02:25:00Z</cp:lastPrinted>
  <dcterms:modified xsi:type="dcterms:W3CDTF">2025-07-15T06:56:23Z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0F91DF31B20842F794856516BA3C2BB1</vt:lpwstr>
  </property>
  <property fmtid="{D5CDD505-2E9C-101B-9397-08002B2CF9AE}" pid="4" name="KSOTemplateDocerSaveRecord">
    <vt:lpwstr>eyJoZGlkIjoiNWUwMWI5YmJmY2Y0NTYxYzI5ODYzNmM5YTg1ZWMyYWIiLCJ1c2VySWQiOiI0MzgwMjU5ODMifQ==</vt:lpwstr>
  </property>
</Properties>
</file>